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bidi/>
            </w:pPr>
            <w:r>
              <w:rPr>
                <w:b/>
                <w:sz w:val="24"/>
              </w:rPr>
              <w:t>بطاقة تقويم الأندية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الأكاديميـة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المديرية الإقليمية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المؤسسـة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9972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الموسم الدراسي :  . . . . . . . .  /  . . . . . . . .</w:t>
            </w:r>
          </w:p>
        </w:tc>
      </w:tr>
    </w:tbl>
    <w:p/>
    <w:p>
      <w:pPr>
        <w:bidi/>
      </w:pPr>
      <w:r>
        <w:rPr>
          <w:b/>
          <w:sz w:val="20"/>
        </w:rPr>
        <w:t>.1 الأندية المحدثة في المؤسسة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النادي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تاريخ الإحداث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رئيس المكتب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عدد اللجان الوظيفية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عدد فرق العمل</w:t>
            </w:r>
          </w:p>
        </w:tc>
      </w:tr>
      <w:tr>
        <w:trPr>
          <w:trHeight w:val="567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p/>
    <w:p>
      <w:pPr>
        <w:bidi/>
      </w:pPr>
      <w:r>
        <w:rPr>
          <w:b/>
          <w:sz w:val="20"/>
        </w:rPr>
        <w:t>.2 التلاميذ المنخرطون والمستفيدون من أنشطة النادي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عدد المنخرطين في التأطير</w:t>
            </w:r>
          </w:p>
        </w:tc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ذكور</w:t>
            </w:r>
          </w:p>
        </w:tc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إناث</w:t>
            </w:r>
          </w:p>
        </w:tc>
      </w:tr>
      <w:tr>
        <w:trPr>
          <w:trHeight w:val="453"/>
        </w:trPr>
        <w:tc>
          <w:tcPr>
            <w:tcW w:type="dxa" w:w="332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المجموع: . . . . . . .</w:t>
            </w:r>
          </w:p>
        </w:tc>
        <w:tc>
          <w:tcPr>
            <w:tcW w:type="dxa" w:w="332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332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عدد المستفيدين من الأنشطة</w:t>
            </w:r>
          </w:p>
        </w:tc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ذكور</w:t>
            </w:r>
          </w:p>
        </w:tc>
        <w:tc>
          <w:tcPr>
            <w:tcW w:type="dxa" w:w="332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إناث</w:t>
            </w:r>
          </w:p>
        </w:tc>
      </w:tr>
      <w:tr>
        <w:trPr>
          <w:trHeight w:val="453"/>
        </w:trPr>
        <w:tc>
          <w:tcPr>
            <w:tcW w:type="dxa" w:w="332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المجموع: . . . . . . .</w:t>
            </w:r>
          </w:p>
        </w:tc>
        <w:tc>
          <w:tcPr>
            <w:tcW w:type="dxa" w:w="332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332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396"/>
        </w:trPr>
        <w:tc>
          <w:tcPr>
            <w:tcW w:type="dxa" w:w="9972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</w:pPr>
            <w:r>
              <w:rPr>
                <w:sz w:val="17"/>
              </w:rPr>
              <w:t>عدد تلاميذ المؤسسة: . . . . . . .</w:t>
            </w:r>
          </w:p>
        </w:tc>
      </w:tr>
    </w:tbl>
    <w:p/>
    <w:p>
      <w:pPr>
        <w:bidi/>
      </w:pPr>
      <w:r>
        <w:rPr>
          <w:b/>
          <w:sz w:val="20"/>
        </w:rPr>
        <w:t>.3 أثر الأندية على بعض مؤشرات الارتقاء بالمؤسسة وتحسين نتائج التعلم</w:t>
      </w:r>
      <w:r>
        <w:rPr>
          <w:color w:val="555555"/>
          <w:sz w:val="17"/>
        </w:rPr>
        <w:t xml:space="preserve">  (توضع علامة × في الخانة المناسبة)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الأثر في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جيد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مستحسن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متوسط</w:t>
            </w:r>
          </w:p>
        </w:tc>
        <w:tc>
          <w:tcPr>
            <w:tcW w:type="dxa" w:w="1994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ضعيف</w:t>
            </w:r>
          </w:p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تحسين نسبة النجاح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تقليل نسبة الهدر المدرسي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تزايد مظاهر تحمل المسؤولية والممارسة الديمقراطية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تزايد مظاهر المبادرة الفردية والعمل الجماعي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تزايد مظاهر التعاون والتشارك بين التلاميذ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التربية على إبداء الرأي واحترام رأي الآخر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بروز حالات دالة على تنمية مواهب التلاميذ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تقلص ظواهر الانحراف وتنمية السلوكات الإيجابية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425"/>
        </w:trPr>
        <w:tc>
          <w:tcPr>
            <w:tcW w:type="dxa" w:w="1994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تزايد أنشطة تطبيقات التعلم في الحياة العملية</w:t>
            </w:r>
          </w:p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199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p/>
    <w:p>
      <w:pPr>
        <w:bidi/>
      </w:pPr>
      <w:r>
        <w:rPr>
          <w:b/>
          <w:sz w:val="20"/>
        </w:rPr>
        <w:t>.4 نتائج تقويم حصيلة الأندية</w:t>
      </w:r>
      <w:r>
        <w:rPr>
          <w:color w:val="555555"/>
          <w:sz w:val="17"/>
        </w:rPr>
        <w:t xml:space="preserve">  (يدرج ملخص مركز بنتائج التقويم الخاصة بكل نادٍ على حدة)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النادي</w:t>
            </w:r>
          </w:p>
        </w:tc>
        <w:tc>
          <w:tcPr>
            <w:tcW w:type="dxa" w:w="4986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نتائج التقويم</w:t>
            </w:r>
          </w:p>
        </w:tc>
      </w:tr>
      <w:tr>
        <w:trPr>
          <w:trHeight w:val="1134"/>
        </w:trPr>
        <w:tc>
          <w:tcPr>
            <w:tcW w:type="dxa" w:w="4986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8"/>
              </w:rPr>
              <w:t>النادي 1</w:t>
            </w:r>
          </w:p>
        </w:tc>
        <w:tc>
          <w:tcPr>
            <w:tcW w:type="dxa" w:w="4986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1134"/>
        </w:trPr>
        <w:tc>
          <w:tcPr>
            <w:tcW w:type="dxa" w:w="4986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8"/>
              </w:rPr>
              <w:t>النادي 2</w:t>
            </w:r>
          </w:p>
        </w:tc>
        <w:tc>
          <w:tcPr>
            <w:tcW w:type="dxa" w:w="4986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1134"/>
        </w:trPr>
        <w:tc>
          <w:tcPr>
            <w:tcW w:type="dxa" w:w="4986"/>
            <w:shd w:val="clear" w:color="auto" w:fill="f3f3f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bidi/>
              <w:jc w:val="right"/>
            </w:pPr>
            <w:r>
              <w:rPr>
                <w:b/>
                <w:sz w:val="18"/>
              </w:rPr>
              <w:t>النادي . . .</w:t>
            </w:r>
          </w:p>
        </w:tc>
        <w:tc>
          <w:tcPr>
            <w:tcW w:type="dxa" w:w="4986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p/>
    <w:p>
      <w:pPr>
        <w:bidi/>
      </w:pPr>
      <w:r>
        <w:rPr>
          <w:b/>
          <w:sz w:val="20"/>
        </w:rPr>
        <w:t>.5 أهم الدروس والعبر المستخلصة من تجربة الأندية</w:t>
      </w:r>
      <w:r>
        <w:rPr>
          <w:color w:val="555555"/>
          <w:sz w:val="17"/>
        </w:rPr>
        <w:t xml:space="preserve">  (المزايا، الصعوبات، الإكراهات، الحلول...)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.6 أهم المقترحات لتطوير العمل بالأندية مستقبلاً على ضوء التجربة ونتائج التقويم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