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100" w:after="100"/>
        <w:ind w:firstLine="708" w:left="708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b/>
          <w:color w:val="000000"/>
          <w:sz w:val="40"/>
          <w:szCs w:val="40"/>
        </w:rPr>
        <w:t>Темы рефератов</w:t>
      </w:r>
      <w:r>
        <w:rPr>
          <w:rFonts w:eastAsia="Arial" w:cs="Arial" w:ascii="Arial" w:hAnsi="Arial"/>
          <w:color w:val="000000"/>
          <w:sz w:val="40"/>
          <w:szCs w:val="40"/>
        </w:rPr>
        <w:t>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spacing w:lineRule="auto" w:line="240" w:before="100" w:after="100"/>
        <w:ind w:hanging="360" w:left="720"/>
        <w:rPr>
          <w:rFonts w:ascii="Arial" w:hAnsi="Arial" w:eastAsia="Arial" w:cs="Arial"/>
          <w:color w:val="000000"/>
          <w:sz w:val="21"/>
        </w:rPr>
      </w:pPr>
      <w:r>
        <w:rPr>
          <w:rFonts w:eastAsia="Arial" w:cs="Arial" w:ascii="Arial" w:hAnsi="Arial"/>
          <w:color w:val="000000"/>
          <w:sz w:val="21"/>
        </w:rPr>
        <w:t>- 1 Пути развития малого бизнеса: опыт России и зарубежных стран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spacing w:lineRule="auto" w:line="240" w:before="100" w:after="100"/>
        <w:ind w:hanging="360" w:left="720"/>
        <w:rPr>
          <w:rFonts w:ascii="Arial" w:hAnsi="Arial" w:eastAsia="Arial" w:cs="Arial"/>
          <w:color w:val="FF0000"/>
          <w:sz w:val="21"/>
        </w:rPr>
      </w:pPr>
      <w:r>
        <w:rPr>
          <w:rFonts w:eastAsia="Arial" w:cs="Arial" w:ascii="Arial" w:hAnsi="Arial"/>
          <w:sz w:val="21"/>
        </w:rPr>
        <w:t xml:space="preserve">- 2 Конкуренция и ее функции в рыночной экономике.     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spacing w:lineRule="auto" w:line="240" w:before="100" w:after="100"/>
        <w:ind w:hanging="360" w:left="720"/>
        <w:rPr>
          <w:rFonts w:ascii="Arial" w:hAnsi="Arial" w:eastAsia="Arial" w:cs="Arial"/>
          <w:color w:val="000000"/>
          <w:sz w:val="21"/>
        </w:rPr>
      </w:pPr>
      <w:r>
        <w:rPr>
          <w:rFonts w:eastAsia="Arial" w:cs="Arial" w:ascii="Arial" w:hAnsi="Arial"/>
          <w:color w:val="000000"/>
          <w:sz w:val="21"/>
        </w:rPr>
        <w:t xml:space="preserve">- </w:t>
      </w:r>
      <w:r>
        <w:rPr>
          <w:rFonts w:eastAsia="Arial" w:cs="Arial" w:ascii="Arial" w:hAnsi="Arial"/>
          <w:color w:val="000000"/>
          <w:sz w:val="21"/>
        </w:rPr>
        <w:t>3 Роль бирж в обеспечении эффективности функционирования экономики.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spacing w:lineRule="auto" w:line="240" w:before="100" w:after="100"/>
        <w:ind w:hanging="360" w:left="720"/>
        <w:rPr>
          <w:rFonts w:ascii="Arial" w:hAnsi="Arial" w:eastAsia="Arial" w:cs="Arial"/>
          <w:sz w:val="21"/>
        </w:rPr>
      </w:pPr>
      <w:r>
        <w:rPr>
          <w:rFonts w:eastAsia="Arial" w:cs="Arial" w:ascii="Arial" w:hAnsi="Arial"/>
          <w:sz w:val="21"/>
        </w:rPr>
        <w:t xml:space="preserve">- 4  Проблема инвестиций в российской экономике.   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spacing w:lineRule="auto" w:line="240" w:before="100" w:after="100"/>
        <w:ind w:hanging="360" w:left="720"/>
        <w:rPr>
          <w:rFonts w:ascii="Arial" w:hAnsi="Arial" w:eastAsia="Arial" w:cs="Arial"/>
          <w:color w:val="000000"/>
          <w:sz w:val="21"/>
        </w:rPr>
      </w:pPr>
      <w:r>
        <w:rPr>
          <w:rFonts w:eastAsia="Arial" w:cs="Arial" w:ascii="Arial" w:hAnsi="Arial"/>
          <w:sz w:val="21"/>
        </w:rPr>
        <w:t>- 5  Особенности экономического роста Китая</w:t>
      </w:r>
      <w:r>
        <w:rPr>
          <w:rFonts w:eastAsia="Arial" w:cs="Arial" w:ascii="Arial" w:hAnsi="Arial"/>
          <w:color w:val="000000"/>
          <w:sz w:val="21"/>
        </w:rPr>
        <w:t xml:space="preserve">.  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spacing w:lineRule="auto" w:line="240" w:before="100" w:after="100"/>
        <w:ind w:hanging="360" w:left="720"/>
        <w:rPr>
          <w:rFonts w:ascii="Arial" w:hAnsi="Arial" w:eastAsia="Arial" w:cs="Arial"/>
          <w:color w:val="000000"/>
          <w:sz w:val="21"/>
        </w:rPr>
      </w:pPr>
      <w:r>
        <w:rPr>
          <w:rFonts w:eastAsia="Arial" w:cs="Arial" w:ascii="Arial" w:hAnsi="Arial"/>
          <w:sz w:val="21"/>
        </w:rPr>
        <w:t>- 6  Особенности экономического роста Индии</w:t>
      </w:r>
      <w:r>
        <w:rPr>
          <w:rFonts w:eastAsia="Arial" w:cs="Arial" w:ascii="Arial" w:hAnsi="Arial"/>
          <w:color w:val="000000"/>
          <w:sz w:val="21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spacing w:lineRule="auto" w:line="240" w:before="100" w:after="100"/>
        <w:ind w:hanging="360" w:left="720"/>
        <w:rPr>
          <w:rFonts w:ascii="Arial" w:hAnsi="Arial" w:eastAsia="Arial" w:cs="Arial"/>
          <w:sz w:val="21"/>
        </w:rPr>
      </w:pPr>
      <w:r>
        <w:rPr>
          <w:rFonts w:eastAsia="Arial" w:cs="Arial" w:ascii="Arial" w:hAnsi="Arial"/>
          <w:sz w:val="21"/>
        </w:rPr>
        <w:t xml:space="preserve">- 7  Налог на доходы физических лиц в РФ и пути его совершенствования.            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spacing w:lineRule="auto" w:line="240" w:before="100" w:after="100"/>
        <w:ind w:hanging="360" w:left="720"/>
        <w:rPr>
          <w:rFonts w:ascii="Arial" w:hAnsi="Arial" w:eastAsia="Arial" w:cs="Arial"/>
          <w:sz w:val="21"/>
        </w:rPr>
      </w:pPr>
      <w:r>
        <w:rPr>
          <w:rFonts w:eastAsia="Arial" w:cs="Arial" w:ascii="Arial" w:hAnsi="Arial"/>
          <w:color w:val="FF0000"/>
          <w:sz w:val="21"/>
        </w:rPr>
        <w:t>- 8  Налог на доходы физических лиц во Франции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spacing w:lineRule="auto" w:line="240" w:before="100" w:after="100"/>
        <w:ind w:hanging="360" w:left="720"/>
        <w:rPr>
          <w:rFonts w:ascii="Arial" w:hAnsi="Arial" w:eastAsia="Arial" w:cs="Arial"/>
          <w:color w:val="000000"/>
          <w:sz w:val="21"/>
        </w:rPr>
      </w:pPr>
      <w:r>
        <w:rPr>
          <w:rFonts w:eastAsia="Arial" w:cs="Arial" w:ascii="Arial" w:hAnsi="Arial"/>
          <w:color w:val="FF0000"/>
          <w:sz w:val="21"/>
        </w:rPr>
        <w:t>9  Налог на доходы физических лиц в Дании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spacing w:lineRule="auto" w:line="240" w:before="100" w:after="100"/>
        <w:ind w:hanging="360" w:left="720"/>
        <w:rPr>
          <w:rFonts w:ascii="Arial" w:hAnsi="Arial" w:eastAsia="Arial" w:cs="Arial"/>
          <w:color w:val="000000"/>
          <w:sz w:val="21"/>
        </w:rPr>
      </w:pPr>
      <w:r>
        <w:rPr>
          <w:rFonts w:eastAsia="Arial" w:cs="Arial" w:ascii="Arial" w:hAnsi="Arial"/>
          <w:color w:val="FF0000"/>
          <w:sz w:val="21"/>
        </w:rPr>
        <w:t>- 10 Налог на доходы физических лиц в Финляндии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spacing w:lineRule="auto" w:line="240" w:before="100" w:after="100"/>
        <w:ind w:hanging="360" w:left="720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 xml:space="preserve">- 11 Налог на доходы физических лиц в США   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spacing w:lineRule="auto" w:line="240" w:before="100" w:after="100"/>
        <w:ind w:hanging="360" w:left="720"/>
        <w:rPr>
          <w:rFonts w:ascii="Arial" w:hAnsi="Arial" w:eastAsia="Arial" w:cs="Arial"/>
          <w:sz w:val="21"/>
        </w:rPr>
      </w:pPr>
      <w:r>
        <w:rPr>
          <w:rFonts w:eastAsia="Arial" w:cs="Arial" w:ascii="Arial" w:hAnsi="Arial"/>
          <w:sz w:val="21"/>
        </w:rPr>
        <w:t>- 12 Формы оплаты труда в сфере инфокоммуникационных услуг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spacing w:lineRule="auto" w:line="240" w:before="100" w:after="100"/>
        <w:ind w:hanging="360" w:left="720"/>
        <w:rPr>
          <w:rFonts w:ascii="Arial" w:hAnsi="Arial" w:eastAsia="Arial" w:cs="Arial"/>
          <w:sz w:val="21"/>
        </w:rPr>
      </w:pPr>
      <w:r>
        <w:rPr>
          <w:rFonts w:eastAsia="Arial" w:cs="Arial" w:ascii="Arial" w:hAnsi="Arial"/>
          <w:sz w:val="21"/>
        </w:rPr>
        <w:t>13 Квалификационная структура трудовых ресурсов в стационарной связи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spacing w:lineRule="auto" w:line="240" w:before="100" w:after="100"/>
        <w:ind w:hanging="360" w:left="720"/>
        <w:rPr>
          <w:rFonts w:ascii="Arial" w:hAnsi="Arial" w:eastAsia="Arial" w:cs="Arial"/>
          <w:sz w:val="21"/>
        </w:rPr>
      </w:pPr>
      <w:r>
        <w:rPr>
          <w:rFonts w:eastAsia="Arial" w:cs="Arial" w:ascii="Arial" w:hAnsi="Arial"/>
          <w:color w:val="FF0000"/>
          <w:sz w:val="21"/>
        </w:rPr>
        <w:t>14 Анализ денежных форм обращения в России</w:t>
      </w:r>
      <w:r>
        <w:rPr>
          <w:rFonts w:eastAsia="Arial" w:cs="Arial" w:ascii="Arial" w:hAnsi="Arial"/>
          <w:sz w:val="21"/>
        </w:rPr>
        <w:t>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spacing w:lineRule="auto" w:line="240" w:before="100" w:after="100"/>
        <w:ind w:hanging="360" w:left="720"/>
        <w:rPr>
          <w:rFonts w:ascii="Arial" w:hAnsi="Arial" w:eastAsia="Arial" w:cs="Arial"/>
          <w:sz w:val="21"/>
        </w:rPr>
      </w:pPr>
      <w:r>
        <w:rPr>
          <w:rFonts w:eastAsia="Arial" w:cs="Arial" w:ascii="Arial" w:hAnsi="Arial"/>
          <w:sz w:val="21"/>
        </w:rPr>
        <w:t>- 15 Направления инновационного развития России.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spacing w:lineRule="auto" w:line="240" w:before="100" w:after="100"/>
        <w:ind w:hanging="360" w:left="720"/>
        <w:rPr>
          <w:rFonts w:ascii="Arial" w:hAnsi="Arial" w:eastAsia="Arial" w:cs="Arial"/>
          <w:sz w:val="21"/>
        </w:rPr>
      </w:pPr>
      <w:r>
        <w:rPr>
          <w:rFonts w:eastAsia="Arial" w:cs="Arial" w:ascii="Arial" w:hAnsi="Arial"/>
          <w:sz w:val="21"/>
        </w:rPr>
        <w:t>- 16 Особенности налоговой системы РФ на современном этапе.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spacing w:lineRule="auto" w:line="240" w:before="100" w:after="100"/>
        <w:ind w:hanging="360" w:left="720"/>
        <w:rPr>
          <w:rFonts w:ascii="Arial" w:hAnsi="Arial" w:eastAsia="Arial" w:cs="Arial"/>
          <w:sz w:val="21"/>
        </w:rPr>
      </w:pPr>
      <w:r>
        <w:rPr>
          <w:rFonts w:eastAsia="Arial" w:cs="Arial" w:ascii="Arial" w:hAnsi="Arial"/>
          <w:sz w:val="21"/>
        </w:rPr>
        <w:t>17 Проблема увеличения налоговых поступлений в бюджет России.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spacing w:lineRule="auto" w:line="240" w:before="100" w:after="100"/>
        <w:ind w:hanging="360" w:left="720"/>
        <w:rPr>
          <w:rFonts w:ascii="Arial" w:hAnsi="Arial" w:eastAsia="Arial" w:cs="Arial"/>
          <w:sz w:val="21"/>
        </w:rPr>
      </w:pPr>
      <w:r>
        <w:rPr>
          <w:rFonts w:eastAsia="Arial" w:cs="Arial" w:ascii="Arial" w:hAnsi="Arial"/>
          <w:sz w:val="21"/>
        </w:rPr>
        <w:t>- 18 Безработица в современной России и государственное регулирование занятости.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spacing w:lineRule="auto" w:line="240" w:before="100" w:after="100"/>
        <w:ind w:hanging="360" w:left="720"/>
        <w:rPr>
          <w:rFonts w:ascii="Arial" w:hAnsi="Arial" w:eastAsia="Arial" w:cs="Arial"/>
          <w:sz w:val="21"/>
        </w:rPr>
      </w:pPr>
      <w:r>
        <w:rPr>
          <w:rFonts w:eastAsia="Arial" w:cs="Arial" w:ascii="Arial" w:hAnsi="Arial"/>
          <w:sz w:val="21"/>
        </w:rPr>
        <w:t>19 Квалификационная структура трудовых ресурсов в отрасли связи.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spacing w:lineRule="auto" w:line="240" w:before="100" w:after="100"/>
        <w:ind w:hanging="360" w:left="720"/>
        <w:rPr>
          <w:rFonts w:ascii="Arial" w:hAnsi="Arial" w:eastAsia="Arial" w:cs="Arial"/>
          <w:sz w:val="21"/>
        </w:rPr>
      </w:pPr>
      <w:r>
        <w:rPr>
          <w:rFonts w:eastAsia="Arial" w:cs="Arial" w:ascii="Arial" w:hAnsi="Arial"/>
          <w:sz w:val="21"/>
        </w:rPr>
        <w:t>20 Пути совершенствования фискальной и денежно-кредитной политики на современном этапе.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spacing w:lineRule="auto" w:line="240" w:before="100" w:after="100"/>
        <w:ind w:hanging="360" w:left="720"/>
        <w:rPr>
          <w:rFonts w:ascii="Arial" w:hAnsi="Arial" w:eastAsia="Arial" w:cs="Arial"/>
          <w:sz w:val="21"/>
        </w:rPr>
      </w:pPr>
      <w:r>
        <w:rPr>
          <w:rFonts w:eastAsia="Arial" w:cs="Arial" w:ascii="Arial" w:hAnsi="Arial"/>
          <w:sz w:val="21"/>
        </w:rPr>
        <w:t>21 Рентабельность предприятий мобильной связи.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spacing w:lineRule="auto" w:line="240" w:before="100" w:after="100"/>
        <w:ind w:hanging="360" w:left="720"/>
        <w:rPr>
          <w:rFonts w:ascii="Arial" w:hAnsi="Arial" w:eastAsia="Arial" w:cs="Arial"/>
          <w:sz w:val="21"/>
        </w:rPr>
      </w:pPr>
      <w:r>
        <w:rPr>
          <w:rFonts w:eastAsia="Arial" w:cs="Arial" w:ascii="Arial" w:hAnsi="Arial"/>
          <w:sz w:val="21"/>
        </w:rPr>
        <w:t>22 Анализ структуры Основных средств предприятия” Мегафон”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spacing w:lineRule="auto" w:line="240" w:before="100" w:after="100"/>
        <w:ind w:hanging="360" w:left="720"/>
        <w:rPr>
          <w:rFonts w:ascii="Arial" w:hAnsi="Arial" w:eastAsia="Arial" w:cs="Arial"/>
          <w:sz w:val="21"/>
        </w:rPr>
      </w:pPr>
      <w:r>
        <w:rPr>
          <w:rFonts w:eastAsia="Arial" w:cs="Arial" w:ascii="Arial" w:hAnsi="Arial"/>
          <w:sz w:val="21"/>
        </w:rPr>
        <w:t>23 Международные валютно-финансовые отношения.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spacing w:lineRule="auto" w:line="240" w:before="100" w:after="100"/>
        <w:ind w:hanging="360" w:left="720"/>
        <w:rPr>
          <w:rFonts w:ascii="Arial" w:hAnsi="Arial" w:eastAsia="Arial" w:cs="Arial"/>
          <w:sz w:val="21"/>
        </w:rPr>
      </w:pPr>
      <w:r>
        <w:rPr>
          <w:rFonts w:eastAsia="Arial" w:cs="Arial" w:ascii="Arial" w:hAnsi="Arial"/>
          <w:sz w:val="21"/>
        </w:rPr>
        <w:t>24 Структура себестоимости предприятий услуг связи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spacing w:lineRule="auto" w:line="240" w:before="100" w:after="100"/>
        <w:ind w:hanging="360" w:left="720"/>
        <w:rPr>
          <w:rFonts w:ascii="Arial" w:hAnsi="Arial" w:eastAsia="Arial" w:cs="Arial"/>
          <w:sz w:val="21"/>
        </w:rPr>
      </w:pPr>
      <w:r>
        <w:rPr>
          <w:rFonts w:eastAsia="Arial" w:cs="Arial" w:ascii="Arial" w:hAnsi="Arial"/>
          <w:sz w:val="21"/>
        </w:rPr>
        <w:t>25 Квалификационная структура трудовых ресурсов в мобильной связи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spacing w:lineRule="auto" w:line="240" w:before="100" w:after="100"/>
        <w:ind w:hanging="360" w:left="720"/>
        <w:rPr>
          <w:rFonts w:ascii="Arial" w:hAnsi="Arial" w:eastAsia="Arial" w:cs="Arial"/>
          <w:sz w:val="21"/>
        </w:rPr>
      </w:pPr>
      <w:r>
        <w:rPr>
          <w:rFonts w:eastAsia="Arial" w:cs="Arial" w:ascii="Arial" w:hAnsi="Arial"/>
          <w:sz w:val="21"/>
        </w:rPr>
        <w:t xml:space="preserve">26 Ценообразование на рынке услуг связи       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spacing w:lineRule="auto" w:line="240" w:before="100" w:after="100"/>
        <w:ind w:hanging="360" w:left="720"/>
        <w:rPr>
          <w:rFonts w:ascii="Arial" w:hAnsi="Arial" w:eastAsia="Arial" w:cs="Arial"/>
          <w:sz w:val="21"/>
        </w:rPr>
      </w:pPr>
      <w:r>
        <w:rPr>
          <w:rFonts w:eastAsia="Arial" w:cs="Arial" w:ascii="Arial" w:hAnsi="Arial"/>
          <w:sz w:val="21"/>
        </w:rPr>
        <w:t xml:space="preserve">27 Сравнение тарифов операторов Билайн и Мегафон на услуги интернет  </w:t>
      </w:r>
    </w:p>
    <w:p>
      <w:pPr>
        <w:pStyle w:val="Normal"/>
        <w:numPr>
          <w:ilvl w:val="0"/>
          <w:numId w:val="1"/>
        </w:numPr>
        <w:spacing w:lineRule="auto" w:line="240" w:before="100" w:after="100"/>
        <w:ind w:hanging="360" w:left="720"/>
        <w:rPr>
          <w:rFonts w:ascii="Arial" w:hAnsi="Arial" w:eastAsia="Arial" w:cs="Arial"/>
          <w:sz w:val="21"/>
        </w:rPr>
      </w:pPr>
      <w:r>
        <w:rPr>
          <w:rFonts w:eastAsia="Arial" w:cs="Arial" w:ascii="Arial" w:hAnsi="Arial"/>
          <w:sz w:val="21"/>
        </w:rPr>
        <w:t xml:space="preserve">- 28 Налог на доходы физических лиц в Великобритании        </w:t>
      </w:r>
    </w:p>
    <w:p>
      <w:pPr>
        <w:pStyle w:val="Normal"/>
        <w:numPr>
          <w:ilvl w:val="0"/>
          <w:numId w:val="1"/>
        </w:numPr>
        <w:spacing w:lineRule="auto" w:line="240" w:before="100" w:after="100"/>
        <w:ind w:hanging="360" w:left="720"/>
        <w:rPr>
          <w:rFonts w:ascii="Arial" w:hAnsi="Arial" w:eastAsia="Arial" w:cs="Arial"/>
          <w:sz w:val="21"/>
        </w:rPr>
      </w:pPr>
      <w:r>
        <w:rPr>
          <w:rFonts w:eastAsia="Arial" w:cs="Arial" w:ascii="Arial" w:hAnsi="Arial"/>
          <w:sz w:val="21"/>
        </w:rPr>
        <w:t xml:space="preserve">29 Экономика России в период Пандемии </w:t>
      </w:r>
    </w:p>
    <w:p>
      <w:pPr>
        <w:pStyle w:val="Normal"/>
        <w:numPr>
          <w:ilvl w:val="0"/>
          <w:numId w:val="1"/>
        </w:numPr>
        <w:spacing w:lineRule="auto" w:line="240" w:before="100" w:after="100"/>
        <w:ind w:hanging="360" w:left="720"/>
        <w:rPr>
          <w:rFonts w:ascii="Arial" w:hAnsi="Arial" w:eastAsia="Arial" w:cs="Arial"/>
          <w:sz w:val="21"/>
        </w:rPr>
      </w:pPr>
      <w:r>
        <w:rPr>
          <w:rFonts w:eastAsia="Arial" w:cs="Arial" w:ascii="Arial" w:hAnsi="Arial"/>
          <w:sz w:val="21"/>
        </w:rPr>
        <w:t xml:space="preserve">30 Внедрение </w:t>
      </w:r>
      <w:r>
        <w:rPr>
          <w:rFonts w:eastAsia="Arial" w:cs="Arial" w:ascii="Arial" w:hAnsi="Arial"/>
          <w:sz w:val="21"/>
          <w:lang w:val="en-US"/>
        </w:rPr>
        <w:t>IT</w:t>
      </w:r>
      <w:r>
        <w:rPr>
          <w:rFonts w:eastAsia="Arial" w:cs="Arial" w:ascii="Arial" w:hAnsi="Arial"/>
          <w:sz w:val="21"/>
        </w:rPr>
        <w:t xml:space="preserve"> в инфокоммуникационных сетях</w:t>
      </w:r>
    </w:p>
    <w:p>
      <w:pPr>
        <w:pStyle w:val="Normal"/>
        <w:numPr>
          <w:ilvl w:val="0"/>
          <w:numId w:val="1"/>
        </w:numPr>
        <w:spacing w:lineRule="auto" w:line="240" w:before="100" w:after="100"/>
        <w:ind w:hanging="360" w:left="720"/>
        <w:rPr>
          <w:rFonts w:ascii="Arial" w:hAnsi="Arial" w:eastAsia="Arial" w:cs="Arial"/>
          <w:sz w:val="21"/>
        </w:rPr>
      </w:pPr>
      <w:r>
        <w:rPr>
          <w:rFonts w:eastAsia="Arial" w:cs="Arial" w:ascii="Arial" w:hAnsi="Arial"/>
          <w:sz w:val="21"/>
        </w:rPr>
        <w:t>31 Оценка эффективности  использования новых технологий на предприятиях связи</w:t>
      </w:r>
    </w:p>
    <w:p>
      <w:pPr>
        <w:pStyle w:val="Normal"/>
        <w:numPr>
          <w:ilvl w:val="0"/>
          <w:numId w:val="1"/>
        </w:numPr>
        <w:spacing w:lineRule="auto" w:line="240" w:before="100" w:after="100"/>
        <w:ind w:hanging="360" w:left="720"/>
        <w:rPr>
          <w:rFonts w:ascii="Arial" w:hAnsi="Arial" w:eastAsia="Arial" w:cs="Arial"/>
          <w:sz w:val="21"/>
        </w:rPr>
      </w:pPr>
      <w:r>
        <w:rPr>
          <w:rFonts w:eastAsia="Arial" w:cs="Arial" w:ascii="Arial" w:hAnsi="Arial"/>
          <w:sz w:val="21"/>
        </w:rPr>
        <w:t xml:space="preserve">32 Особенности внедрение нейросетей в отрасли  связи  </w:t>
      </w:r>
    </w:p>
    <w:p>
      <w:pPr>
        <w:pStyle w:val="Normal"/>
        <w:numPr>
          <w:ilvl w:val="0"/>
          <w:numId w:val="1"/>
        </w:numPr>
        <w:spacing w:lineRule="auto" w:line="240" w:before="100" w:after="100"/>
        <w:ind w:hanging="360" w:left="720"/>
        <w:rPr>
          <w:rFonts w:ascii="Arial" w:hAnsi="Arial" w:eastAsia="Arial" w:cs="Arial"/>
          <w:sz w:val="21"/>
        </w:rPr>
      </w:pPr>
      <w:r>
        <w:rPr>
          <w:rFonts w:eastAsia="Arial" w:cs="Arial" w:ascii="Arial" w:hAnsi="Arial"/>
          <w:sz w:val="21"/>
        </w:rPr>
        <w:t xml:space="preserve">33 Ожидаемые положительные результаты использования нейросетей в отрасли  связи  </w:t>
      </w:r>
    </w:p>
    <w:p>
      <w:pPr>
        <w:pStyle w:val="Normal"/>
        <w:numPr>
          <w:ilvl w:val="0"/>
          <w:numId w:val="1"/>
        </w:numPr>
        <w:spacing w:lineRule="auto" w:line="240" w:before="100" w:after="100"/>
        <w:ind w:hanging="360" w:left="720"/>
        <w:rPr>
          <w:rFonts w:ascii="Arial" w:hAnsi="Arial" w:eastAsia="Arial" w:cs="Arial"/>
          <w:sz w:val="21"/>
        </w:rPr>
      </w:pPr>
      <w:r>
        <w:rPr>
          <w:rFonts w:eastAsia="Arial" w:cs="Arial" w:ascii="Arial" w:hAnsi="Arial"/>
          <w:sz w:val="21"/>
        </w:rPr>
        <w:t xml:space="preserve">34 Трудности внедрения нейросетей в отрасли  связи  </w:t>
      </w:r>
    </w:p>
    <w:p>
      <w:pPr>
        <w:pStyle w:val="Normal"/>
        <w:spacing w:lineRule="auto" w:line="240" w:before="100" w:after="100"/>
        <w:ind w:left="720"/>
        <w:rPr>
          <w:rFonts w:ascii="Arial" w:hAnsi="Arial" w:eastAsia="Arial" w:cs="Arial"/>
          <w:sz w:val="21"/>
        </w:rPr>
      </w:pPr>
      <w:r>
        <w:rPr>
          <w:rFonts w:eastAsia="Arial" w:cs="Arial" w:ascii="Arial" w:hAnsi="Arial"/>
          <w:sz w:val="21"/>
        </w:rPr>
        <w:t>35 Оценка достоинств и недостатков применения ИИ в отрасли связи</w:t>
      </w:r>
    </w:p>
    <w:p>
      <w:pPr>
        <w:pStyle w:val="Normal"/>
        <w:numPr>
          <w:ilvl w:val="0"/>
          <w:numId w:val="1"/>
        </w:numPr>
        <w:spacing w:lineRule="auto" w:line="240" w:before="100" w:after="100"/>
        <w:ind w:hanging="360" w:left="720"/>
        <w:rPr>
          <w:rFonts w:ascii="Arial" w:hAnsi="Arial" w:eastAsia="Arial" w:cs="Arial"/>
          <w:sz w:val="21"/>
        </w:rPr>
      </w:pPr>
      <w:r>
        <w:rPr>
          <w:rFonts w:eastAsia="Arial" w:cs="Arial" w:ascii="Arial" w:hAnsi="Arial"/>
          <w:sz w:val="21"/>
        </w:rPr>
        <w:t>36 Оценка  разработки ИИ в отрасли связи</w:t>
      </w:r>
    </w:p>
    <w:p>
      <w:pPr>
        <w:pStyle w:val="Normal"/>
        <w:numPr>
          <w:ilvl w:val="0"/>
          <w:numId w:val="1"/>
        </w:numPr>
        <w:spacing w:lineRule="auto" w:line="240" w:before="100" w:after="100"/>
        <w:ind w:hanging="360" w:left="720"/>
        <w:rPr>
          <w:rFonts w:ascii="Arial" w:hAnsi="Arial" w:eastAsia="Arial" w:cs="Arial"/>
          <w:sz w:val="21"/>
        </w:rPr>
      </w:pPr>
      <w:r>
        <w:rPr>
          <w:rFonts w:eastAsia="Arial" w:cs="Arial" w:ascii="Arial" w:hAnsi="Arial"/>
          <w:sz w:val="21"/>
        </w:rPr>
        <w:t xml:space="preserve">37 Методы оценки эффективности внедрения ИИ   </w:t>
      </w:r>
    </w:p>
    <w:p>
      <w:pPr>
        <w:pStyle w:val="Normal"/>
        <w:numPr>
          <w:ilvl w:val="0"/>
          <w:numId w:val="1"/>
        </w:numPr>
        <w:spacing w:lineRule="auto" w:line="240" w:before="100" w:after="100"/>
        <w:ind w:hanging="360" w:left="720"/>
        <w:rPr/>
      </w:pPr>
      <w:r>
        <w:rPr>
          <w:rFonts w:eastAsia="Arial" w:cs="Arial" w:ascii="Arial" w:hAnsi="Arial"/>
          <w:sz w:val="21"/>
        </w:rPr>
        <w:t xml:space="preserve">38 Оценка эффективности внедрения  нейросетей в отросли  </w:t>
      </w:r>
      <w:bookmarkStart w:id="0" w:name="_GoBack"/>
      <w:bookmarkEnd w:id="0"/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701" w:right="850" w:gutter="0" w:header="708" w:top="765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74ab9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376eaf"/>
    <w:rPr>
      <w:rFonts w:eastAsia="" w:eastAsiaTheme="minorEastAsia"/>
      <w:lang w:eastAsia="ru-RU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376eaf"/>
    <w:rPr>
      <w:rFonts w:eastAsia="" w:eastAsiaTheme="minorEastAsia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376ea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376ea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LibreOffice/24.2.0.3$Linux_X86_64 LibreOffice_project/420$Build-3</Application>
  <AppVersion>15.0000</AppVersion>
  <Pages>1</Pages>
  <Words>339</Words>
  <Characters>1873</Characters>
  <CharactersWithSpaces>2204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2024-02-20T17:05:00Z</dcterms:created>
  <dc:creator>Надин</dc:creator>
  <dc:description/>
  <dc:language>ru-RU</dc:language>
  <cp:lastModifiedBy/>
  <dcterms:modified xsi:type="dcterms:W3CDTF">2024-04-25T10:08:58Z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