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Логическое и функциональное программирование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 №1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</w:t>
      </w:r>
    </w:p>
    <w:p>
      <w:pPr>
        <w:pStyle w:val="Normal"/>
        <w:spacing w:lineRule="auto" w:line="240" w:before="240" w:after="0"/>
        <w:ind w:left="70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Дунаев В.Е.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Белая Т. И.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</w:t>
      </w:r>
      <w:r>
        <w:rPr>
          <w:rFonts w:cs="Times New Roman" w:ascii="Times New Roman" w:hAnsi="Times New Roman"/>
          <w:sz w:val="32"/>
          <w:szCs w:val="32"/>
          <w:lang w:val="ru-RU"/>
        </w:rPr>
        <w:t>риняла</w:t>
      </w:r>
      <w:r>
        <w:rPr>
          <w:rFonts w:cs="Times New Roman" w:ascii="Times New Roman" w:hAnsi="Times New Roman"/>
          <w:sz w:val="32"/>
          <w:szCs w:val="32"/>
        </w:rPr>
        <w:t>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продукционную, семантическую сеть и фреймовую модель представления знаний в предметной области «</w:t>
      </w: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Основными процессами в рекламном агентстве являются: рассмотрение заявок, обработка заказов, подготовка к выпуску и выпуск рекламной продукции.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Рекламное агентство в своей работе использует систему антиплагиата и руководствуется текущим законодательством.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занимается изготовлением щитов, баннеров, рекламных буклетов и продвижением в социальных сетях.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Продукция проходит контроль качества. 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Продукционная модель</w:t>
      </w:r>
    </w:p>
    <w:p>
      <w:pPr>
        <w:pStyle w:val="Normal"/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Действия: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оставляет заявку в агентстве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берет на рассмотрение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проверяет заявку на соответствие законодательству и на плагиат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одобряет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отклоняет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приглашает Клиента для заключения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согласовывает сроки и стоимость заказа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договор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договора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Агенствто обрабатывает заказ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пишет рекламный пост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настраивает рекламу поста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анализирует эффективность рекламного поста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изменяет настройки рекламного поста в социальных сетях для наибольшего охвата аудитории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проводит контроль качества пробной партии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обеспечивает дообучение сотрудников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переделывает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финальную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арендует место под рекламые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устанавливает рекламные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нанимает Студентов для раздачи рекламных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раздают рекламные буклеты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согласовывает с Клиентом новые условия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дополнительного соглашения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работает без изменений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завершает работу с Клиентской рекламой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убирает неактуальные рекламные щиты, баннеры, буклеты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Правила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получить услугу рекламного агентства, Он оставляет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есть Заявки, но они не обработаны, то Агентство берет их на рассмотрение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 рассмотрении, то Юрист начинает проверять Заявку на соответствие законодательству и на плагиат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не нарушает правил, то Агентство одобряет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нарушает правила, то Агентство отклоняет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одобрена, то Юрист составляет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составлен, то Агентство приглашает Клиента для заключения договора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пришел заключать договор и Договор составлен, то Клиент согласовывает сроки и стоимость заказа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не согласован, то Клиент отказывается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Договор согласован </w:t>
      </w:r>
      <w:r>
        <w:rPr>
          <w:rFonts w:cs="Times New Roman" w:ascii="Times New Roman" w:hAnsi="Times New Roman"/>
          <w:sz w:val="28"/>
          <w:szCs w:val="28"/>
          <w:lang w:val="ru-RU"/>
        </w:rPr>
        <w:t>и у Клиента есть деньги</w:t>
      </w:r>
      <w:r>
        <w:rPr>
          <w:rFonts w:cs="Times New Roman" w:ascii="Times New Roman" w:hAnsi="Times New Roman"/>
          <w:sz w:val="28"/>
          <w:szCs w:val="28"/>
          <w:lang w:val="ru-RU"/>
        </w:rPr>
        <w:t>, то Клиент подписывает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согласован, но у Клиента нет денег, то Клиент оказывается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подписан,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оплачен, то Агентство начинает обрабатывать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Промоутер составляет рекламный пост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Промоутер написал рекламный пост, то 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Рекламный пост написан и Агентство перевело деньги, то Промоутер настраивает рекламу поста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настроил рекламный пост, то Промоутер анализирует его эффективность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проанализировал эффективность рекламного поста, то Промоутер изменит настройки поста для наибольшего охвата аудитории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Оно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готова, то Агентство проводит контроль качества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не соответствует госту, то Агентство переделывает Пробную партию и организует дообучение сотрудников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соответствует госту, то Агентство изготавливает Финальную партию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щитов и баннеров готова, то Агентство арендует место под их рекламу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Место под рекламу арендовано, то Агентство устанавливает баннеры и щиты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буклетов готова, то Агентство нанимает Студентов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наняты, то Студенты начинают раздавать рекламные буклеты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изменить условия договора, то Агентство согласовывает с Клиентом эти изменения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согласовало с Клиентом условия договора, то Клиент подписывает Дополнительное соглашение к договору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не смогло согласовать Дополнительные условия договора, то Агентство работает без изменений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подписал Дополнительное соглашение,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оплатил Дополнительное соглашение, то Агентство обрабатывает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раздали рекламные буклеты, и/или закончился срок рекламы в социальных сетях, и/или закончился срок аренды места для баннеров и щитов, то Агентствротчитывается Клиенту о результатах рекламной кампании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отчиталось о результатах рекламной кампании, то Оно завершает работу с Клиентской рекламой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завершило работу над заказом, то Оно убирает неактуальные щиты, баннеры, буклеты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Факты: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получить услугу рекламного агентства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Есть Заявки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Заявки обработаны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 рассмотрении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одобрена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составлен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пришел заключать договор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подписан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Клиента есть деньги на оплату рекламы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оплачен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обрабатывает заказ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написал рекламный пост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перевело деньги на счет Промоутера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настроил рекламынй пост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проанализировал эффективность рекламного поста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Пробная партия щитов, баннеров,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не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щитов и баннеров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для рекламы щитов и баннеров арендовано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наняты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изменить условия договора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не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подписал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оплатил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раздали рекламные буклеты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рекламы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аренды места для щитов и баннеров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отчиталось о результатах рекламной капмании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завершило работу над заказом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Семантическая сеть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Фреймовая модель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134" w:right="1134" w:gutter="0" w:header="708" w:top="850" w:footer="708" w:bottom="1701"/>
          <w:pgNumType w:fmt="decimal"/>
          <w:formProt w:val="false"/>
          <w:textDirection w:val="lrTb"/>
          <w:docGrid w:type="default" w:linePitch="360" w:charSpace="4096"/>
        </w:sect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Фреймы прототипы-образц</w:t>
      </w:r>
      <w:bookmarkStart w:id="0" w:name="_GoBack"/>
      <w:r>
        <w:rPr>
          <w:b/>
          <w:bCs/>
          <w:sz w:val="32"/>
          <w:szCs w:val="32"/>
        </w:rPr>
        <w:t>ы</w:t>
      </w:r>
      <w:bookmarkEnd w:id="0"/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построены три модели представления данных: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Продукционная модель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Семантическая сеть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</w:rPr>
      </w:pPr>
      <w:r>
        <w:rPr>
          <w:sz w:val="28"/>
          <w:szCs w:val="28"/>
        </w:rPr>
        <w:t>Фреймовая модель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Для всех трёх моделей были созданы графы для более наглядного представления. Все три модели описывают бизнес-процессы </w:t>
      </w:r>
      <w:r>
        <w:rPr>
          <w:sz w:val="28"/>
          <w:szCs w:val="28"/>
        </w:rPr>
        <w:t>рекламного агентства</w:t>
      </w:r>
      <w:r>
        <w:rPr>
          <w:sz w:val="28"/>
          <w:szCs w:val="28"/>
        </w:rPr>
        <w:t>.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  <w:lang w:val="ru-RU"/>
      </w:rPr>
    </w:pPr>
    <w:r>
      <w:rPr>
        <w:rFonts w:cs="Times New Roman" w:ascii="Times New Roman" w:hAnsi="Times New Roman"/>
        <w:color w:themeColor="text1" w:val="000000"/>
        <w:sz w:val="32"/>
        <w:szCs w:val="32"/>
        <w:lang w:val="ru-RU"/>
      </w:rPr>
      <w:t>Факультет ИКСС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827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3a0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a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678c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8276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9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5b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07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A3C2-0082-4EA3-93F1-E6FFC42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Application>LibreOffice/24.2.0.3$Linux_X86_64 LibreOffice_project/420$Build-3</Application>
  <AppVersion>15.0000</AppVersion>
  <Pages>10</Pages>
  <Words>1089</Words>
  <Characters>7240</Characters>
  <CharactersWithSpaces>8084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2023-09-13T07:56:00Z</dcterms:created>
  <dc:creator>Максим</dc:creator>
  <dc:description/>
  <dc:language>ru-RU</dc:language>
  <cp:lastModifiedBy/>
  <dcterms:modified xsi:type="dcterms:W3CDTF">2024-04-08T10:27:37Z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