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21"/>
        </w:rPr>
        <w:t>Response to Reviewers</w:t>
      </w:r>
    </w:p>
    <w:p>
      <w:r>
        <w:rPr>
          <w:rFonts w:ascii="Times New Roman" w:hAnsi="Times New Roman"/>
          <w:sz w:val="21"/>
        </w:rPr>
        <w:t>Paper 687 | MPCIT 2026</w:t>
      </w:r>
    </w:p>
    <w:p>
      <w:r>
        <w:rPr>
          <w:rFonts w:ascii="Times New Roman" w:hAnsi="Times New Roman"/>
          <w:sz w:val="21"/>
        </w:rPr>
        <w:t>We thank the reviewers for their careful assessment. We revised the manuscript and regenerated the primary results from the full Facebook fact-check dataset. The responses below describe changes made in the revised manuscript and identify the scope of experiments explicitly.</w:t>
      </w:r>
    </w:p>
    <w:p>
      <w:pPr>
        <w:pStyle w:val="Heading1"/>
      </w:pPr>
      <w:r>
        <w:rPr>
          <w:rFonts w:ascii="Times New Roman" w:hAnsi="Times New Roman"/>
          <w:sz w:val="21"/>
        </w:rPr>
        <w:t>Reviewer 1</w:t>
      </w:r>
    </w:p>
    <w:p>
      <w:pPr>
        <w:keepLines/>
      </w:pPr>
      <w:r>
        <w:rPr>
          <w:rFonts w:ascii="Times New Roman" w:hAnsi="Times New Roman"/>
          <w:b/>
          <w:sz w:val="21"/>
        </w:rPr>
        <w:t xml:space="preserve">Comment 1. Condition-number scales differ between tables. </w:t>
      </w:r>
      <w:r>
        <w:rPr>
          <w:rFonts w:ascii="Times New Roman" w:hAnsi="Times New Roman"/>
          <w:sz w:val="21"/>
        </w:rPr>
        <w:t>We audited the diagnostic implementation and standardized the reported definition. We center and symmetrize the Gram matrix, add a diagonal ridge of 10^-8, and report the largest positive eigenvalue divided by the smallest positive eigenvalue. The regenerated run gives values on the 10^8–10^9 scale. We could not reproduce the earlier 30–45 values under this definition and removed them rather than presenting them as comparable results.</w:t>
      </w:r>
    </w:p>
    <w:p>
      <w:pPr>
        <w:keepLines/>
      </w:pPr>
      <w:r>
        <w:rPr>
          <w:rFonts w:ascii="Times New Roman" w:hAnsi="Times New Roman"/>
          <w:b/>
          <w:sz w:val="21"/>
        </w:rPr>
        <w:t xml:space="preserve">Comment 2. Table II contains negative spectral gaps. </w:t>
      </w:r>
      <w:r>
        <w:rPr>
          <w:rFonts w:ascii="Times New Roman" w:hAnsi="Times New Roman"/>
          <w:sz w:val="21"/>
        </w:rPr>
        <w:t>We made descending eigenvalue ordering explicit and recomputed the results. The reported gap is lambda_1 minus lambda_2 after centering and ridge stabilization; the regenerated values are nonnegative. The implementation rejects invalid nonsquare or nonfinite matrices.</w:t>
      </w:r>
    </w:p>
    <w:p>
      <w:pPr>
        <w:keepLines/>
      </w:pPr>
      <w:r>
        <w:rPr>
          <w:rFonts w:ascii="Times New Roman" w:hAnsi="Times New Roman"/>
          <w:b/>
          <w:sz w:val="21"/>
        </w:rPr>
        <w:t xml:space="preserve">Comment 3. Regression coefficients conflict. </w:t>
      </w:r>
      <w:r>
        <w:rPr>
          <w:rFonts w:ascii="Times New Roman" w:hAnsi="Times New Roman"/>
          <w:sz w:val="21"/>
        </w:rPr>
        <w:t>We regenerated one standardized OLS model from 24 distinct model settings, with accuracy as the response and alignment, log10(condition number), and spectral gap as predictors. The standardized coefficients are 0.431, -0.443, and -0.348, respectively; R-squared is 0.448. The corresponding predictor p-values are 0.067, 0.410, and 0.467. We removed conflicting coefficient sets and describe this small-sample model as exploratory.</w:t>
      </w:r>
    </w:p>
    <w:p>
      <w:pPr>
        <w:keepLines/>
      </w:pPr>
      <w:r>
        <w:rPr>
          <w:rFonts w:ascii="Times New Roman" w:hAnsi="Times New Roman"/>
          <w:b/>
          <w:sz w:val="21"/>
        </w:rPr>
        <w:t xml:space="preserve">Comment 4. Per-seed support-vector counts were missing. </w:t>
      </w:r>
      <w:r>
        <w:rPr>
          <w:rFonts w:ascii="Times New Roman" w:hAnsi="Times New Roman"/>
          <w:sz w:val="21"/>
        </w:rPr>
        <w:t>We include the regenerated ten-seed table with the seed, each model's accuracy and count, and the ratio calculated for each seed. No seed was excluded in the completed run.</w:t>
      </w:r>
    </w:p>
    <w:p>
      <w:pPr>
        <w:keepLines/>
      </w:pPr>
      <w:r>
        <w:rPr>
          <w:rFonts w:ascii="Times New Roman" w:hAnsi="Times New Roman"/>
          <w:b/>
          <w:sz w:val="21"/>
        </w:rPr>
        <w:t xml:space="preserve">Comment 5. The single-run and aggregate ratios differ. </w:t>
      </w:r>
      <w:r>
        <w:rPr>
          <w:rFonts w:ascii="Times New Roman" w:hAnsi="Times New Roman"/>
          <w:sz w:val="21"/>
        </w:rPr>
        <w:t>We distinguish the single-run count ratio from the ten-seed mean. The regenerated mean of per-seed ratios is 15.61, with a percentile-bootstrap 95% interval of 13.61–17.91 (n=10); this replaces the previous 25.34 claim. The manuscript also states that Pegasos active-set counts and SVC support-vector counts arise from different solvers and do not by themselves establish equivalent inference cost.</w:t>
      </w:r>
    </w:p>
    <w:p>
      <w:pPr>
        <w:pStyle w:val="Heading1"/>
      </w:pPr>
      <w:r>
        <w:rPr>
          <w:rFonts w:ascii="Times New Roman" w:hAnsi="Times New Roman"/>
          <w:sz w:val="21"/>
        </w:rPr>
        <w:t>Reviewer 5</w:t>
      </w:r>
    </w:p>
    <w:p>
      <w:pPr>
        <w:keepLines/>
      </w:pPr>
      <w:r>
        <w:rPr>
          <w:rFonts w:ascii="Times New Roman" w:hAnsi="Times New Roman"/>
          <w:b/>
          <w:sz w:val="21"/>
        </w:rPr>
        <w:t xml:space="preserve">Comment 1. The geometry analysis has only 19 configurations. </w:t>
      </w:r>
      <w:r>
        <w:rPr>
          <w:rFonts w:ascii="Times New Roman" w:hAnsi="Times New Roman"/>
          <w:sz w:val="21"/>
        </w:rPr>
        <w:t>The earlier table's 19 rows came from the standard preset: four feature-map comparisons, nine depth-sweep rows, and six PCA/qubit rows. We reran the full preset, which produced 25 sweep rows (four feature-map, 12 depth-sweep, and nine PCA/qubit rows). One Pauli PCA=2, qubits=2, reps=2, 200-iteration setting appeared in both the feature-map and PCA/qubit sweeps, so it is retained once in configuration-level analysis. The analysis therefore uses 24 distinct feature-map, PCA, qubit, depth, and iteration settings. We report the small sample explicitly and treat associations as exploratory, not causal or out-of-sample prediction.</w:t>
      </w:r>
    </w:p>
    <w:p>
      <w:pPr>
        <w:keepLines/>
      </w:pPr>
      <w:r>
        <w:rPr>
          <w:rFonts w:ascii="Times New Roman" w:hAnsi="Times New Roman"/>
          <w:b/>
          <w:sz w:val="21"/>
        </w:rPr>
        <w:t xml:space="preserve">Comment 2. Condition-number correlations conflict. </w:t>
      </w:r>
      <w:r>
        <w:rPr>
          <w:rFonts w:ascii="Times New Roman" w:hAnsi="Times New Roman"/>
          <w:sz w:val="21"/>
        </w:rPr>
        <w:t>We regenerated one authoritative correlation table from the 24 distinct settings after excluding the repeated model setting described above. For log10(condition number), Pearson r is -0.516 and Spearman rho is -0.519 (n=24). Under the recorded absolute z-score &gt; 2 rule, n=22, Pearson r is -0.667 and Spearman rho is -0.606. The table records the transformation, outlier rule, p-values, and Pearson confidence intervals. Because all settings use the same train/test split, the configuration points are dependent; we interpret these small-sample statistics descriptively, not as independent-sample evidence.</w:t>
      </w:r>
    </w:p>
    <w:p>
      <w:pPr>
        <w:keepLines/>
      </w:pPr>
      <w:r>
        <w:rPr>
          <w:rFonts w:ascii="Times New Roman" w:hAnsi="Times New Roman"/>
          <w:b/>
          <w:sz w:val="21"/>
        </w:rPr>
        <w:t xml:space="preserve">Comment 3. Support-vector counts may not be comparable. </w:t>
      </w:r>
      <w:r>
        <w:rPr>
          <w:rFonts w:ascii="Times New Roman" w:hAnsi="Times New Roman"/>
          <w:sz w:val="21"/>
        </w:rPr>
        <w:t>We report solver-specific counts and the exact Pegasos and classical settings in the run manifest. The ten-seed comparison uses matched PCA(2) representations and split seeds. We no longer characterize the ratio as a computational advantage. Longer-iteration sensitivity runs are not claimed as completed.</w:t>
      </w:r>
    </w:p>
    <w:p>
      <w:pPr>
        <w:keepLines/>
      </w:pPr>
      <w:r>
        <w:rPr>
          <w:rFonts w:ascii="Times New Roman" w:hAnsi="Times New Roman"/>
          <w:b/>
          <w:sz w:val="21"/>
        </w:rPr>
        <w:t xml:space="preserve">Comment 4. The main geometry study is limited to low qubit counts. </w:t>
      </w:r>
      <w:r>
        <w:rPr>
          <w:rFonts w:ascii="Times New Roman" w:hAnsi="Times New Roman"/>
          <w:sz w:val="21"/>
        </w:rPr>
        <w:t>We state the tested qubit range and restrict conclusions to the evaluated configurations. The geometry subset has n=400. A higher-qubit geometry sweep is not claimed as completed.</w:t>
      </w:r>
    </w:p>
    <w:p>
      <w:pPr>
        <w:keepLines/>
      </w:pPr>
      <w:r>
        <w:rPr>
          <w:rFonts w:ascii="Times New Roman" w:hAnsi="Times New Roman"/>
          <w:b/>
          <w:sz w:val="21"/>
        </w:rPr>
        <w:t xml:space="preserve">Comment 5. Cross-dataset validation does not replicate the full geometry analysis. </w:t>
      </w:r>
      <w:r>
        <w:rPr>
          <w:rFonts w:ascii="Times New Roman" w:hAnsi="Times New Roman"/>
          <w:sz w:val="21"/>
        </w:rPr>
        <w:t>We retain the breast-cancer table only as a classification sanity check and state that the geometry protocol was not replicated there. We excluded WELFake and LIAR from confirmatory claims and manuscript tables because the saved outputs contain conflicting runs and incomplete provenance; a matched reproducible evaluation remains future work.</w:t>
      </w:r>
    </w:p>
    <w:p>
      <w:pPr>
        <w:keepLines/>
      </w:pPr>
      <w:r>
        <w:rPr>
          <w:rFonts w:ascii="Times New Roman" w:hAnsi="Times New Roman"/>
          <w:b/>
          <w:sz w:val="21"/>
        </w:rPr>
        <w:t xml:space="preserve">Comment 6. Noise results are simulator-only. </w:t>
      </w:r>
      <w:r>
        <w:rPr>
          <w:rFonts w:ascii="Times New Roman" w:hAnsi="Times New Roman"/>
          <w:sz w:val="21"/>
        </w:rPr>
        <w:t>We identify the AerSimulator and modeled depolarizing gate errors. The finite-shot stress test uses 512 shots, a stratified 60-example training subset, a 30-example kernel-statistics subset, and the full held-out split for accuracy. The manuscript reports the nonmonotonic accuracy values alongside the decreasing mean kernel similarity and makes no hardware-robustness claim.</w:t>
      </w:r>
    </w:p>
    <w:p>
      <w:pPr>
        <w:keepLines/>
      </w:pPr>
      <w:r>
        <w:rPr>
          <w:rFonts w:ascii="Times New Roman" w:hAnsi="Times New Roman"/>
          <w:b/>
          <w:sz w:val="21"/>
        </w:rPr>
        <w:t xml:space="preserve">Comment 7. Correlations are at risk of causal interpretation. </w:t>
      </w:r>
      <w:r>
        <w:rPr>
          <w:rFonts w:ascii="Times New Roman" w:hAnsi="Times New Roman"/>
          <w:sz w:val="21"/>
        </w:rPr>
        <w:t>We replaced causal or predictive phrasing with exploratory association language and report the sample size, p-values, and confidence intervals. The multivariate coefficients are not statistically significant at 0.05.</w:t>
      </w:r>
    </w:p>
    <w:p>
      <w:pPr>
        <w:keepLines/>
      </w:pPr>
      <w:r>
        <w:rPr>
          <w:rFonts w:ascii="Times New Roman" w:hAnsi="Times New Roman"/>
          <w:b/>
          <w:sz w:val="21"/>
        </w:rPr>
        <w:t xml:space="preserve">Comment 8. Classical models outperform the quantum model on other representations. </w:t>
      </w:r>
      <w:r>
        <w:rPr>
          <w:rFonts w:ascii="Times New Roman" w:hAnsi="Times New Roman"/>
          <w:sz w:val="21"/>
        </w:rPr>
        <w:t>We identify the representation for each comparison. The quantum result is compared directly with the PCA(2) RBF baseline; higher full-feature and engineered-feature classical results are reported separately. We do not claim that the quantum models outperform the strongest classical model overall.</w:t>
      </w:r>
    </w:p>
    <w:p>
      <w:pPr>
        <w:keepLines/>
      </w:pPr>
      <w:r>
        <w:rPr>
          <w:rFonts w:ascii="Times New Roman" w:hAnsi="Times New Roman"/>
          <w:b/>
          <w:sz w:val="21"/>
        </w:rPr>
        <w:t xml:space="preserve">Comment 9. Reproducibility details are incomplete. </w:t>
      </w:r>
      <w:r>
        <w:rPr>
          <w:rFonts w:ascii="Times New Roman" w:hAnsi="Times New Roman"/>
          <w:sz w:val="21"/>
        </w:rPr>
        <w:t>The revised methods describe the split, seed, preprocessing, feature maps, matrix centering, ridge, eigengap and condition-number definitions, geometry subset, and noise protocol. A machine-readable run manifest records qubits, repetitions, Pegasos settings, shots, noise values, and software versions.</w:t>
      </w:r>
    </w:p>
    <w:p>
      <w:pPr>
        <w:keepLines/>
      </w:pPr>
      <w:r>
        <w:rPr>
          <w:rFonts w:ascii="Times New Roman" w:hAnsi="Times New Roman"/>
          <w:b/>
          <w:sz w:val="21"/>
        </w:rPr>
        <w:t xml:space="preserve">Comment 10. Novelty is not clearly positioned. </w:t>
      </w:r>
      <w:r>
        <w:rPr>
          <w:rFonts w:ascii="Times New Roman" w:hAnsi="Times New Roman"/>
          <w:sz w:val="21"/>
        </w:rPr>
        <w:t>We position the contribution as a joint empirical evaluation of established geometry diagnostics in this fake-news metadata setting, not as a new metric or a demonstrated quantum advantage. We added recent work on quantum-kernel concentration and generalization.</w:t>
      </w:r>
    </w:p>
    <w:p>
      <w:pPr>
        <w:pStyle w:val="Heading1"/>
      </w:pPr>
      <w:r>
        <w:rPr>
          <w:rFonts w:ascii="Times New Roman" w:hAnsi="Times New Roman"/>
          <w:sz w:val="21"/>
        </w:rPr>
        <w:t>Reviewer 6</w:t>
      </w:r>
    </w:p>
    <w:p>
      <w:pPr>
        <w:keepLines/>
      </w:pPr>
      <w:r>
        <w:rPr>
          <w:rFonts w:ascii="Times New Roman" w:hAnsi="Times New Roman"/>
          <w:b/>
          <w:sz w:val="21"/>
        </w:rPr>
        <w:t xml:space="preserve">Comment 1. Add implementation detail. </w:t>
      </w:r>
      <w:r>
        <w:rPr>
          <w:rFonts w:ascii="Times New Roman" w:hAnsi="Times New Roman"/>
          <w:sz w:val="21"/>
        </w:rPr>
        <w:t>We added verified feature-map, preprocessing, regularization, split, diagnostic, and noise details and refer to the run manifest for exact settings. No unrecorded circuit constants are asserted.</w:t>
      </w:r>
    </w:p>
    <w:p>
      <w:pPr>
        <w:keepLines/>
      </w:pPr>
      <w:r>
        <w:rPr>
          <w:rFonts w:ascii="Times New Roman" w:hAnsi="Times New Roman"/>
          <w:b/>
          <w:sz w:val="21"/>
        </w:rPr>
        <w:t xml:space="preserve">Comment 2. Standardize Table I. </w:t>
      </w:r>
      <w:r>
        <w:rPr>
          <w:rFonts w:ascii="Times New Roman" w:hAnsi="Times New Roman"/>
          <w:sz w:val="21"/>
        </w:rPr>
        <w:t>The report generator now applies a consistent 8-point table font, centered cell alignment, repeated header rows, header shading, and scientific notation for large values. The regenerated manuscript applies yellow highlighting to the revised text.</w:t>
      </w:r>
    </w:p>
    <w:p>
      <w:pPr>
        <w:keepLines/>
      </w:pPr>
      <w:r>
        <w:rPr>
          <w:rFonts w:ascii="Times New Roman" w:hAnsi="Times New Roman"/>
          <w:b/>
          <w:sz w:val="21"/>
        </w:rPr>
        <w:t xml:space="preserve">Comment 3. Add recent related work and align the title with results. </w:t>
      </w:r>
      <w:r>
        <w:rPr>
          <w:rFonts w:ascii="Times New Roman" w:hAnsi="Times New Roman"/>
          <w:sz w:val="21"/>
        </w:rPr>
        <w:t>We added peer-reviewed 2024 work on concentration and generalization and 2026 work on benign overfitting with quantum kernels. The title remains focused on geometry analysis for fake-news detection; the abstract and conclusion now state that the results are exploratory and do not demonstrate quantum advantage.</w:t>
      </w:r>
    </w:p>
    <w:p>
      <w:pPr>
        <w:pStyle w:val="Heading1"/>
      </w:pPr>
      <w:r>
        <w:rPr>
          <w:rFonts w:ascii="Times New Roman" w:hAnsi="Times New Roman"/>
          <w:sz w:val="21"/>
        </w:rPr>
        <w:t>Resubmission checks</w:t>
      </w:r>
    </w:p>
    <w:p>
      <w:r>
        <w:rPr>
          <w:rFonts w:ascii="Times New Roman" w:hAnsi="Times New Roman"/>
          <w:sz w:val="21"/>
        </w:rPr>
        <w:t>The revised manuscript is anonymized in its document properties and has no author-identifying title-page fields. All revised manuscript text is highlighted yellow. Tables and figures are regenerated from the completed full-dataset run.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subject/>
  <dc:creator>Anonymous</dc:creator>
  <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