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 w:after="60"/>
        <w:jc w:val="center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TO-BE PROCESS DOCUMENT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IT Service Desk SLA Performance Monitoring — Future State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7F8C8D"/>
          <w:sz w:val="19"/>
          <w:szCs w:val="19"/>
        </w:rPr>
        <w:t xml:space="preserve">NexaServ Technologies Pvt. Ltd.   |   Prepared by: Kratika Yadav, BA   |   March 2026</w:t>
      </w:r>
    </w:p>
    <w:p>
      <w:pPr>
        <w:pBdr>
          <w:bottom w:val="single" w:color="1B3A6B" w:sz="10" w:space="1"/>
        </w:pBdr>
        <w:spacing w:before="40" w:after="200"/>
      </w:pPr>
      <w:r>
        <w:t xml:space="preserve"/>
      </w:r>
    </w:p>
    <w:p>
      <w:pPr>
        <w:pBdr>
          <w:bottom w:val="single" w:color="1B3A6B" w:sz="8" w:space="2"/>
        </w:pBdr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1. Overview</w:t>
      </w:r>
    </w:p>
    <w:p>
      <w:pPr>
        <w:spacing w:before="50" w:after="5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This document describes the proposed To-Be (future state) process for SLA performance monitoring at NexaServ Technologies following implementation of the recommendations outlined in the Business Requirements Document. The To-Be process replaces the current reactive, manual approach with a proactive, automated monitoring system designed to achieve and sustain an 80%+ SLA compliance rate.</w:t>
      </w:r>
    </w:p>
    <w:p>
      <w:pPr>
        <w:pBdr>
          <w:bottom w:val="single" w:color="1B3A6B" w:sz="8" w:space="2"/>
        </w:pBdr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2. As-Is vs To-Be Comparison</w:t>
      </w:r>
    </w:p>
    <w:p>
      <w:pPr>
        <w:spacing w:before="50" w:after="5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The table below summarises the key differences between the current state and the proposed future state across all critical process dimensions:</w:t>
      </w:r>
    </w:p>
    <w:p>
      <w:pPr>
        <w:spacing w:before="80"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40"/>
        <w:gridCol w:w="404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4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As-Is (Current State)</w:t>
            </w:r>
          </w:p>
        </w:tc>
        <w:tc>
          <w:tcPr>
            <w:tcW w:type="dxa" w:w="4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To-Be (Future State)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SLA Tracking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Manual and fragmented — no real-time visibility into breach 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Automated real-time tracking with live Power BI dashboard refreshing every 15 minutes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Breach Detection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Detected only after incident is closed — management informed retrospectively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Proactive detection — alerts triggered at 50%, 75% and 100% of SLA clock consumption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Ticket Assignment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Manual assignment with no monitoring — 1,108 incidents breached SLA due to missing assignment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Automated unassigned ticket detection — alert raised to IT Service Manager within 2 hours of creation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Escalation Process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structured escalation path — breaches go unnoticed until closure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4-level automated escalation: Assignee (50%) → Team Leader (75%) → IT Service Manager (100%) → CIO (breach + 2hrs)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Reassignment Tracking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monitoring of reassignment count — tickets with 6+ reassignments breach SLA 92% of the time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Automated flag raised for tickets with 3+ reassignments — weekly reassignment analytics report generated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Reporting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structured reporting — management relies on ad-hoc queries and manual Excel reports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Automated daily compliance report to IT Service Manager, weekly team reports, monthly executive summary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SLA Compliance Rate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63.42% — 16.58% below ITIL benchmark of 80%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Target 80%+ within 3 months of implementation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P3 Moderate Breaches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91% of all breaches — no targeted intervention for moderate priority incidents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Priority-based monitoring with dedicated Team Leader alerts for P3 volume thresholds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Root Cause Analysis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structured RCA process — recurring issues not tracked or addressed systematically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Mandatory RCA within 24 hours for every P1 breach — findings documented and escalated for process improvement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Stakeholder Visibility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IT Service Manager has no structured view — relies on manual requests for performance data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4-page Power BI dashboard — Executive Summary, Operational Analysis, Root Cause Analysis and Drill-Through detail</w:t>
            </w:r>
          </w:p>
        </w:tc>
      </w:tr>
    </w:tbl>
    <w:p>
      <w:pPr>
        <w:pBdr>
          <w:bottom w:val="single" w:color="1B3A6B" w:sz="8" w:space="2"/>
        </w:pBdr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3. To-Be Process Flow</w:t>
      </w:r>
    </w:p>
    <w:p>
      <w:pPr>
        <w:spacing w:before="50" w:after="5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The following step-by-step process describes the improved future state incident lifecycle with automated SLA monitoring integrated at every stage:</w:t>
      </w:r>
    </w:p>
    <w:p>
      <w:pPr>
        <w:spacing w:before="80"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280"/>
      </w:tblGrid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01</w:t>
            </w:r>
          </w:p>
        </w:tc>
        <w:tc>
          <w:tcPr>
            <w:tcW w:type="dxa" w:w="9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Incident Raised by End User</w:t>
            </w:r>
          </w:p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End user raises incident via phone, email or self-service portal. ServiceNow auto-captures mandatory fields — priority, category, contact type and location. Incident immediately visible on live dashboard.</w:t>
            </w:r>
          </w:p>
        </w:tc>
      </w:tr>
    </w:tbl>
    <w:p>
      <w:pPr>
        <w:spacing w:before="20" w:after="20"/>
        <w:jc w:val="center"/>
      </w:pPr>
      <w:r>
        <w:rPr>
          <w:rFonts w:ascii="Arial" w:cs="Arial" w:eastAsia="Arial" w:hAnsi="Arial"/>
          <w:color w:val="1B3A6B"/>
          <w:sz w:val="20"/>
          <w:szCs w:val="20"/>
        </w:rPr>
        <w:t xml:space="preserve">▼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280"/>
      </w:tblGrid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5E9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02</w:t>
            </w:r>
          </w:p>
        </w:tc>
        <w:tc>
          <w:tcPr>
            <w:tcW w:type="dxa" w:w="9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Automated Priority Assignment</w:t>
            </w:r>
          </w:p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System assigns SLA target based on Impact + Urgency matrix. P1 = 4 hour target, P2 = 8 hours, P3 = 2-3 business days, P4 = 5 business days. SLA clock starts immediately.</w:t>
            </w:r>
          </w:p>
        </w:tc>
      </w:tr>
    </w:tbl>
    <w:p>
      <w:pPr>
        <w:spacing w:before="20" w:after="20"/>
        <w:jc w:val="center"/>
      </w:pPr>
      <w:r>
        <w:rPr>
          <w:rFonts w:ascii="Arial" w:cs="Arial" w:eastAsia="Arial" w:hAnsi="Arial"/>
          <w:color w:val="1B3A6B"/>
          <w:sz w:val="20"/>
          <w:szCs w:val="20"/>
        </w:rPr>
        <w:t xml:space="preserve">▼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280"/>
      </w:tblGrid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4C3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03</w:t>
            </w:r>
          </w:p>
        </w:tc>
        <w:tc>
          <w:tcPr>
            <w:tcW w:type="dxa" w:w="9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Ticket Assignment Monitoring</w:t>
            </w:r>
          </w:p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System monitors assignment status. If ticket remains unassigned after 2 hours — automated alert sent to IT Service Manager with ticket details and SLA remaining time. Eliminates 1,108 preventable unassigned breaches.</w:t>
            </w:r>
          </w:p>
        </w:tc>
      </w:tr>
    </w:tbl>
    <w:p>
      <w:pPr>
        <w:spacing w:before="20" w:after="20"/>
        <w:jc w:val="center"/>
      </w:pPr>
      <w:r>
        <w:rPr>
          <w:rFonts w:ascii="Arial" w:cs="Arial" w:eastAsia="Arial" w:hAnsi="Arial"/>
          <w:color w:val="1B3A6B"/>
          <w:sz w:val="20"/>
          <w:szCs w:val="20"/>
        </w:rPr>
        <w:t xml:space="preserve">▼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280"/>
      </w:tblGrid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9C1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04</w:t>
            </w:r>
          </w:p>
        </w:tc>
        <w:tc>
          <w:tcPr>
            <w:tcW w:type="dxa" w:w="9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50% Warning — Assignee Alert</w:t>
            </w:r>
          </w:p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When 50% of SLA clock consumed and ticket unresolved — automated email and Microsoft Teams notification sent to assigned resolver. Dashboard shows ticket in early warning state.</w:t>
            </w:r>
          </w:p>
        </w:tc>
      </w:tr>
    </w:tbl>
    <w:p>
      <w:pPr>
        <w:spacing w:before="20" w:after="20"/>
        <w:jc w:val="center"/>
      </w:pPr>
      <w:r>
        <w:rPr>
          <w:rFonts w:ascii="Arial" w:cs="Arial" w:eastAsia="Arial" w:hAnsi="Arial"/>
          <w:color w:val="1B3A6B"/>
          <w:sz w:val="20"/>
          <w:szCs w:val="20"/>
        </w:rPr>
        <w:t xml:space="preserve">▼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280"/>
      </w:tblGrid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7E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05</w:t>
            </w:r>
          </w:p>
        </w:tc>
        <w:tc>
          <w:tcPr>
            <w:tcW w:type="dxa" w:w="9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75% Alert — Team Leader Notification</w:t>
            </w:r>
          </w:p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When 75% of SLA clock consumed — automated notification sent to Team Leader. Dashboard applies amber colour coding to ticket. Team Leader expected to intervene and support resolution.</w:t>
            </w:r>
          </w:p>
        </w:tc>
      </w:tr>
    </w:tbl>
    <w:p>
      <w:pPr>
        <w:spacing w:before="20" w:after="20"/>
        <w:jc w:val="center"/>
      </w:pPr>
      <w:r>
        <w:rPr>
          <w:rFonts w:ascii="Arial" w:cs="Arial" w:eastAsia="Arial" w:hAnsi="Arial"/>
          <w:color w:val="1B3A6B"/>
          <w:sz w:val="20"/>
          <w:szCs w:val="20"/>
        </w:rPr>
        <w:t xml:space="preserve">▼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280"/>
      </w:tblGrid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06</w:t>
            </w:r>
          </w:p>
        </w:tc>
        <w:tc>
          <w:tcPr>
            <w:tcW w:type="dxa" w:w="9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100% Breach — Service Manager Escalation</w:t>
            </w:r>
          </w:p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When SLA target exceeded — ticket automatically flagged as breach. Senior Engineer reassigned. IT Service Manager notified immediately. Breach logged for monthly performance reporting.</w:t>
            </w:r>
          </w:p>
        </w:tc>
      </w:tr>
    </w:tbl>
    <w:p>
      <w:pPr>
        <w:spacing w:before="20" w:after="20"/>
        <w:jc w:val="center"/>
      </w:pPr>
      <w:r>
        <w:rPr>
          <w:rFonts w:ascii="Arial" w:cs="Arial" w:eastAsia="Arial" w:hAnsi="Arial"/>
          <w:color w:val="1B3A6B"/>
          <w:sz w:val="20"/>
          <w:szCs w:val="20"/>
        </w:rPr>
        <w:t xml:space="preserve">▼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280"/>
      </w:tblGrid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922B2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07</w:t>
            </w:r>
          </w:p>
        </w:tc>
        <w:tc>
          <w:tcPr>
            <w:tcW w:type="dxa" w:w="9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Breach + 2 Hours — Executive Escalation</w:t>
            </w:r>
          </w:p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If ticket remains unresolved 2 hours after breach — direct notification sent to Department Head or CIO. Mandatory Root Cause Analysis triggered — must be completed within 24 hours of resolution.</w:t>
            </w:r>
          </w:p>
        </w:tc>
      </w:tr>
    </w:tbl>
    <w:p>
      <w:pPr>
        <w:spacing w:before="20" w:after="20"/>
        <w:jc w:val="center"/>
      </w:pPr>
      <w:r>
        <w:rPr>
          <w:rFonts w:ascii="Arial" w:cs="Arial" w:eastAsia="Arial" w:hAnsi="Arial"/>
          <w:color w:val="1B3A6B"/>
          <w:sz w:val="20"/>
          <w:szCs w:val="20"/>
        </w:rPr>
        <w:t xml:space="preserve">▼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280"/>
      </w:tblGrid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08</w:t>
            </w:r>
          </w:p>
        </w:tc>
        <w:tc>
          <w:tcPr>
            <w:tcW w:type="dxa" w:w="9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Resolution and Closure</w:t>
            </w:r>
          </w:p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Ticket resolved and closed by assignee. Resolution time recorded. SLA status (met or breached) logged automatically. Resolved ticket removed from active monitoring dashboard.</w:t>
            </w:r>
          </w:p>
        </w:tc>
      </w:tr>
    </w:tbl>
    <w:p>
      <w:pPr>
        <w:spacing w:before="20" w:after="20"/>
        <w:jc w:val="center"/>
      </w:pPr>
      <w:r>
        <w:rPr>
          <w:rFonts w:ascii="Arial" w:cs="Arial" w:eastAsia="Arial" w:hAnsi="Arial"/>
          <w:color w:val="1B3A6B"/>
          <w:sz w:val="20"/>
          <w:szCs w:val="20"/>
        </w:rPr>
        <w:t xml:space="preserve">▼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280"/>
      </w:tblGrid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844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09</w:t>
            </w:r>
          </w:p>
        </w:tc>
        <w:tc>
          <w:tcPr>
            <w:tcW w:type="dxa" w:w="9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Automated Reporting and Review</w:t>
            </w:r>
          </w:p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Daily compliance report auto-generated for IT Service Manager. Weekly team performance reports distributed to Team Leaders. Monthly executive summary with trend analysis sent to CIO. RCA findings reviewed for process improvement.</w:t>
            </w:r>
          </w:p>
        </w:tc>
      </w:tr>
    </w:tbl>
    <w:p>
      <w:pPr>
        <w:pBdr>
          <w:bottom w:val="single" w:color="1B3A6B" w:sz="8" w:space="2"/>
        </w:pBdr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4. Expected Outcomes</w:t>
      </w:r>
    </w:p>
    <w:p>
      <w:pPr>
        <w:spacing w:before="60"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(As-Is)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(To-Be)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SLA Compliance Rate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63.42%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80%+ within 3 months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Unassigned Ticket Breaches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1,108 incidents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Zero — fully eliminated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P3 Moderate Breach Rate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91% of all breaches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Reduced by 40%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P1 Critical Resolution Time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157 hours average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Under 8 hours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High Reassignment Breach Rate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92% for 6+ reassignments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Reduced by 50%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Management Reporting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Manual and ad-hoc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Automated daily and weekly</w:t>
            </w:r>
          </w:p>
        </w:tc>
      </w:tr>
    </w:tbl>
    <w:p>
      <w:pPr>
        <w:pBdr>
          <w:bottom w:val="single" w:color="1B3A6B" w:sz="8" w:space="2"/>
        </w:pBdr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5. Implementation Approach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Phase 1 — Foundation (Month 1)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Configure priority-based SLA targets in ServiceNow for all 4 priority levels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Set up unassigned ticket detection and 2-hour alert mechanism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Deploy Power BI dashboard — Executive Summary and Operational Analysis pages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Phase 2 — Automation (Month 2)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Implement 4-level escalation workflow with automated notifications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Configure reassignment count monitoring and weekly analytics reports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Train IT Service Manager and Team Leaders on dashboard usage and alert response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Phase 3 — Optimisation (Month 3)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Launch Root Cause Analysis process for P1 breaches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Deploy automated daily, weekly and monthly reporting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Review compliance rate against 80% target — adjust thresholds if needed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Conduct UAT with all stakeholders and gather feedback for refinement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2026-03-20T08:25:21.643Z</dcterms:created>
  <dcterms:modified xsi:type="dcterms:W3CDTF">2026-03-20T08:25:21.643Z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