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57" w:rsidRDefault="00A66F57" w:rsidP="00A66F57">
      <w:pPr>
        <w:ind w:firstLine="720"/>
        <w:rPr>
          <w:lang w:val="es-MX"/>
        </w:rPr>
      </w:pPr>
      <w:r>
        <w:rPr>
          <w:lang w:val="es-MX"/>
        </w:rPr>
        <w:t xml:space="preserve">Para la primera entrega el carro </w:t>
      </w:r>
      <w:r w:rsidR="00C91AA5" w:rsidRPr="00C91AA5">
        <w:rPr>
          <w:lang w:val="es-MX"/>
        </w:rPr>
        <w:t>se acer</w:t>
      </w:r>
      <w:r>
        <w:rPr>
          <w:lang w:val="es-MX"/>
        </w:rPr>
        <w:t>ca</w:t>
      </w:r>
      <w:r w:rsidR="00C91AA5" w:rsidRPr="00C91AA5">
        <w:rPr>
          <w:lang w:val="es-MX"/>
        </w:rPr>
        <w:t xml:space="preserve"> a un objetivo que se encuentre entre 20 y 60cm de </w:t>
      </w:r>
      <w:r w:rsidR="00C91AA5">
        <w:rPr>
          <w:lang w:val="es-MX"/>
        </w:rPr>
        <w:t>él. Superados los 20cm el carro comienza a retroceder y se mantiene a una distancia constante del objetivo (18-20cm)</w:t>
      </w:r>
      <w:r>
        <w:rPr>
          <w:lang w:val="es-MX"/>
        </w:rPr>
        <w:t>, para este fin se utilizó únicamente la lectura del sensor infrarrojo que está a bordo del carro. Aúne s necesario establecer la correcta comunicación entre el microcontrolador y la cámara para que pueda ser ubicado el centroide de la pelota que se le colocará en frente para ser seguida.</w:t>
      </w:r>
    </w:p>
    <w:p w:rsidR="00C91AA5" w:rsidRDefault="00C91AA5" w:rsidP="00A66F57">
      <w:pPr>
        <w:ind w:firstLine="720"/>
        <w:rPr>
          <w:lang w:val="es-MX"/>
        </w:rPr>
      </w:pPr>
      <w:r>
        <w:rPr>
          <w:lang w:val="es-MX"/>
        </w:rPr>
        <w:t>Con respecto a los motores, se</w:t>
      </w:r>
      <w:r w:rsidR="00A916A7">
        <w:rPr>
          <w:lang w:val="es-MX"/>
        </w:rPr>
        <w:t xml:space="preserve"> tiene el modelo electromecánico de cada motor, para el desarrollo de este modelo se obtuvieron experimentalmente los siguientes parámetros: resistencia de armadura (R</w:t>
      </w:r>
      <w:r w:rsidR="00A916A7" w:rsidRPr="00A916A7">
        <w:rPr>
          <w:vertAlign w:val="subscript"/>
          <w:lang w:val="es-MX"/>
        </w:rPr>
        <w:t>a</w:t>
      </w:r>
      <w:r w:rsidR="00A916A7" w:rsidRPr="00A916A7">
        <w:rPr>
          <w:lang w:val="es-MX"/>
        </w:rPr>
        <w:t>)</w:t>
      </w:r>
      <w:r w:rsidR="00A916A7">
        <w:rPr>
          <w:lang w:val="es-MX"/>
        </w:rPr>
        <w:t>, Inductancia de armadura (L</w:t>
      </w:r>
      <w:r w:rsidR="00A916A7" w:rsidRPr="00A916A7">
        <w:rPr>
          <w:vertAlign w:val="subscript"/>
          <w:lang w:val="es-MX"/>
        </w:rPr>
        <w:t>a</w:t>
      </w:r>
      <w:r w:rsidR="00A916A7">
        <w:rPr>
          <w:lang w:val="es-MX"/>
        </w:rPr>
        <w:t>), constante de torque electromagnético (K</w:t>
      </w:r>
      <w:r w:rsidR="00A916A7" w:rsidRPr="00A916A7">
        <w:rPr>
          <w:vertAlign w:val="subscript"/>
          <w:lang w:val="es-MX"/>
        </w:rPr>
        <w:t>p</w:t>
      </w:r>
      <w:r w:rsidR="00A916A7">
        <w:rPr>
          <w:lang w:val="es-MX"/>
        </w:rPr>
        <w:t>) y constante de fuerza electromotriz (K</w:t>
      </w:r>
      <w:r w:rsidR="00A916A7" w:rsidRPr="00A916A7">
        <w:rPr>
          <w:vertAlign w:val="subscript"/>
          <w:lang w:val="es-MX"/>
        </w:rPr>
        <w:t>b</w:t>
      </w:r>
      <w:r w:rsidR="00A916A7">
        <w:rPr>
          <w:lang w:val="es-MX"/>
        </w:rPr>
        <w:t>), las constantes K</w:t>
      </w:r>
      <w:r w:rsidR="00A916A7" w:rsidRPr="00A916A7">
        <w:rPr>
          <w:vertAlign w:val="subscript"/>
          <w:lang w:val="es-MX"/>
        </w:rPr>
        <w:t>b</w:t>
      </w:r>
      <w:r w:rsidR="00A916A7">
        <w:rPr>
          <w:lang w:val="es-MX"/>
        </w:rPr>
        <w:t xml:space="preserve"> y K</w:t>
      </w:r>
      <w:r w:rsidR="00A916A7" w:rsidRPr="00A916A7">
        <w:rPr>
          <w:vertAlign w:val="subscript"/>
          <w:lang w:val="es-MX"/>
        </w:rPr>
        <w:t>p</w:t>
      </w:r>
      <w:r w:rsidR="00A916A7">
        <w:rPr>
          <w:lang w:val="es-MX"/>
        </w:rPr>
        <w:t xml:space="preserve"> </w:t>
      </w:r>
      <w:r>
        <w:rPr>
          <w:lang w:val="es-MX"/>
        </w:rPr>
        <w:t xml:space="preserve">las </w:t>
      </w:r>
      <w:r w:rsidR="00A916A7">
        <w:rPr>
          <w:lang w:val="es-MX"/>
        </w:rPr>
        <w:t xml:space="preserve">constantes </w:t>
      </w:r>
      <w:r w:rsidR="00A86359">
        <w:rPr>
          <w:lang w:val="es-MX"/>
        </w:rPr>
        <w:t>se consideran iguales siempre que [K</w:t>
      </w:r>
      <w:r w:rsidR="00A86359" w:rsidRPr="00A86359">
        <w:rPr>
          <w:vertAlign w:val="subscript"/>
          <w:lang w:val="es-MX"/>
        </w:rPr>
        <w:t>p</w:t>
      </w:r>
      <w:r w:rsidR="00A86359">
        <w:rPr>
          <w:lang w:val="es-MX"/>
        </w:rPr>
        <w:t>]=(V/rad/s) y [K</w:t>
      </w:r>
      <w:r w:rsidR="00A86359" w:rsidRPr="00A86359">
        <w:rPr>
          <w:vertAlign w:val="subscript"/>
          <w:lang w:val="es-MX"/>
        </w:rPr>
        <w:t>b</w:t>
      </w:r>
      <w:r w:rsidR="00A86359">
        <w:rPr>
          <w:lang w:val="es-MX"/>
        </w:rPr>
        <w:t>]=Nm/A. La inercia del motor (I) y el coeficiente de amor</w:t>
      </w:r>
      <w:r w:rsidR="00A916A7">
        <w:rPr>
          <w:lang w:val="es-MX"/>
        </w:rPr>
        <w:t>tiguamiento</w:t>
      </w:r>
      <w:r w:rsidR="00A86359">
        <w:rPr>
          <w:lang w:val="es-MX"/>
        </w:rPr>
        <w:t xml:space="preserve"> viscoso</w:t>
      </w:r>
      <w:r w:rsidR="00A916A7">
        <w:rPr>
          <w:lang w:val="es-MX"/>
        </w:rPr>
        <w:t xml:space="preserve"> (B</w:t>
      </w:r>
      <w:r>
        <w:rPr>
          <w:lang w:val="es-MX"/>
        </w:rPr>
        <w:t>)</w:t>
      </w:r>
      <w:r w:rsidR="00A86359">
        <w:rPr>
          <w:lang w:val="es-MX"/>
        </w:rPr>
        <w:t xml:space="preserve"> son valores aproximados cuyo valor no es conocido con certeza y cualquier retraso inesperado en la respuesta de los motores se puede explicar por la incerteza de estos parámetros.</w:t>
      </w:r>
      <w:r w:rsidR="00A6549D">
        <w:rPr>
          <w:lang w:val="es-MX"/>
        </w:rPr>
        <w:t xml:space="preserve"> </w:t>
      </w:r>
    </w:p>
    <w:tbl>
      <w:tblPr>
        <w:tblStyle w:val="TableGrid"/>
        <w:tblW w:w="0" w:type="auto"/>
        <w:jc w:val="center"/>
        <w:tblLayout w:type="fixed"/>
        <w:tblLook w:val="04A0" w:firstRow="1" w:lastRow="0" w:firstColumn="1" w:lastColumn="0" w:noHBand="0" w:noVBand="1"/>
      </w:tblPr>
      <w:tblGrid>
        <w:gridCol w:w="2268"/>
        <w:gridCol w:w="1366"/>
        <w:gridCol w:w="1367"/>
        <w:gridCol w:w="1367"/>
        <w:gridCol w:w="1367"/>
        <w:gridCol w:w="1367"/>
      </w:tblGrid>
      <w:tr w:rsidR="008F32B7" w:rsidTr="008F32B7">
        <w:trPr>
          <w:jc w:val="center"/>
        </w:trPr>
        <w:tc>
          <w:tcPr>
            <w:tcW w:w="2268" w:type="dxa"/>
          </w:tcPr>
          <w:p w:rsidR="008F32B7" w:rsidRDefault="008F32B7">
            <w:pPr>
              <w:rPr>
                <w:lang w:val="es-MX"/>
              </w:rPr>
            </w:pPr>
            <w:r>
              <w:rPr>
                <w:lang w:val="es-MX"/>
              </w:rPr>
              <w:t>Motor/parámetro</w:t>
            </w:r>
          </w:p>
        </w:tc>
        <w:tc>
          <w:tcPr>
            <w:tcW w:w="1366" w:type="dxa"/>
            <w:vAlign w:val="center"/>
          </w:tcPr>
          <w:p w:rsidR="008F32B7" w:rsidRPr="00A6549D" w:rsidRDefault="008F32B7" w:rsidP="008F32B7">
            <w:pPr>
              <w:jc w:val="center"/>
              <w:rPr>
                <w:lang w:val="es-MX"/>
              </w:rPr>
            </w:pPr>
            <w:r>
              <w:rPr>
                <w:lang w:val="es-MX"/>
              </w:rPr>
              <w:t>R</w:t>
            </w:r>
            <w:r w:rsidRPr="00A6549D">
              <w:rPr>
                <w:vertAlign w:val="subscript"/>
                <w:lang w:val="es-MX"/>
              </w:rPr>
              <w:t>a</w:t>
            </w:r>
            <w:r>
              <w:rPr>
                <w:lang w:val="es-MX"/>
              </w:rPr>
              <w:t>(</w:t>
            </w:r>
            <w:r w:rsidRPr="008F32B7">
              <w:rPr>
                <w:rFonts w:ascii="Symbol" w:hAnsi="Symbol"/>
                <w:lang w:val="es-MX"/>
              </w:rPr>
              <w:t></w:t>
            </w:r>
            <w:r>
              <w:rPr>
                <w:lang w:val="es-MX"/>
              </w:rPr>
              <w:t>)</w:t>
            </w:r>
          </w:p>
        </w:tc>
        <w:tc>
          <w:tcPr>
            <w:tcW w:w="1367" w:type="dxa"/>
            <w:vAlign w:val="center"/>
          </w:tcPr>
          <w:p w:rsidR="008F32B7" w:rsidRPr="00A6549D" w:rsidRDefault="008F32B7" w:rsidP="008F32B7">
            <w:pPr>
              <w:jc w:val="center"/>
              <w:rPr>
                <w:lang w:val="es-MX"/>
              </w:rPr>
            </w:pPr>
            <w:r>
              <w:rPr>
                <w:lang w:val="es-MX"/>
              </w:rPr>
              <w:t>L</w:t>
            </w:r>
            <w:r w:rsidRPr="00A6549D">
              <w:rPr>
                <w:vertAlign w:val="subscript"/>
                <w:lang w:val="es-MX"/>
              </w:rPr>
              <w:t>a</w:t>
            </w:r>
            <w:r>
              <w:rPr>
                <w:lang w:val="es-MX"/>
              </w:rPr>
              <w:t xml:space="preserve"> (</w:t>
            </w:r>
            <w:r>
              <w:rPr>
                <w:rFonts w:ascii="Symbol" w:hAnsi="Symbol"/>
                <w:lang w:val="es-MX"/>
              </w:rPr>
              <w:t></w:t>
            </w:r>
            <w:r>
              <w:rPr>
                <w:lang w:val="es-MX"/>
              </w:rPr>
              <w:t>H)</w:t>
            </w:r>
          </w:p>
        </w:tc>
        <w:tc>
          <w:tcPr>
            <w:tcW w:w="1367" w:type="dxa"/>
            <w:vAlign w:val="center"/>
          </w:tcPr>
          <w:p w:rsidR="008F32B7" w:rsidRPr="00A6549D" w:rsidRDefault="008F32B7" w:rsidP="008F32B7">
            <w:pPr>
              <w:jc w:val="center"/>
              <w:rPr>
                <w:lang w:val="es-MX"/>
              </w:rPr>
            </w:pPr>
            <w:r>
              <w:rPr>
                <w:lang w:val="es-MX"/>
              </w:rPr>
              <w:t>K</w:t>
            </w:r>
            <w:r>
              <w:rPr>
                <w:lang w:val="es-MX"/>
              </w:rPr>
              <w:t>(V/rad/s)</w:t>
            </w:r>
          </w:p>
        </w:tc>
        <w:tc>
          <w:tcPr>
            <w:tcW w:w="1367" w:type="dxa"/>
            <w:vAlign w:val="center"/>
          </w:tcPr>
          <w:p w:rsidR="008F32B7" w:rsidRPr="00A6549D" w:rsidRDefault="008F32B7" w:rsidP="008F32B7">
            <w:pPr>
              <w:jc w:val="center"/>
              <w:rPr>
                <w:lang w:val="es-MX"/>
              </w:rPr>
            </w:pPr>
            <w:r>
              <w:rPr>
                <w:lang w:val="es-MX"/>
              </w:rPr>
              <w:t>I (kg.m</w:t>
            </w:r>
            <w:r w:rsidRPr="00A6549D">
              <w:rPr>
                <w:vertAlign w:val="superscript"/>
                <w:lang w:val="es-MX"/>
              </w:rPr>
              <w:t>2</w:t>
            </w:r>
            <w:r>
              <w:rPr>
                <w:lang w:val="es-MX"/>
              </w:rPr>
              <w:t>)</w:t>
            </w:r>
          </w:p>
        </w:tc>
        <w:tc>
          <w:tcPr>
            <w:tcW w:w="1367" w:type="dxa"/>
            <w:vAlign w:val="center"/>
          </w:tcPr>
          <w:p w:rsidR="008F32B7" w:rsidRDefault="008F32B7" w:rsidP="008F32B7">
            <w:pPr>
              <w:jc w:val="center"/>
              <w:rPr>
                <w:lang w:val="es-MX"/>
              </w:rPr>
            </w:pPr>
            <w:r>
              <w:rPr>
                <w:lang w:val="es-MX"/>
              </w:rPr>
              <w:t>B</w:t>
            </w:r>
            <w:r>
              <w:rPr>
                <w:lang w:val="es-MX"/>
              </w:rPr>
              <w:t xml:space="preserve"> (kg/m.s)</w:t>
            </w:r>
          </w:p>
        </w:tc>
      </w:tr>
      <w:tr w:rsidR="008F32B7" w:rsidTr="008F32B7">
        <w:trPr>
          <w:jc w:val="center"/>
        </w:trPr>
        <w:tc>
          <w:tcPr>
            <w:tcW w:w="2268" w:type="dxa"/>
          </w:tcPr>
          <w:p w:rsidR="008F32B7" w:rsidRDefault="008F32B7">
            <w:pPr>
              <w:rPr>
                <w:lang w:val="es-MX"/>
              </w:rPr>
            </w:pPr>
            <w:r>
              <w:rPr>
                <w:lang w:val="es-MX"/>
              </w:rPr>
              <w:t>Rojo-negro (M1)</w:t>
            </w:r>
          </w:p>
        </w:tc>
        <w:tc>
          <w:tcPr>
            <w:tcW w:w="1366" w:type="dxa"/>
            <w:vAlign w:val="center"/>
          </w:tcPr>
          <w:p w:rsidR="008F32B7" w:rsidRDefault="008F32B7" w:rsidP="008F32B7">
            <w:pPr>
              <w:jc w:val="center"/>
              <w:rPr>
                <w:lang w:val="es-MX"/>
              </w:rPr>
            </w:pPr>
            <w:r>
              <w:rPr>
                <w:lang w:val="es-MX"/>
              </w:rPr>
              <w:t>1.11</w:t>
            </w:r>
          </w:p>
        </w:tc>
        <w:tc>
          <w:tcPr>
            <w:tcW w:w="1367" w:type="dxa"/>
            <w:vAlign w:val="center"/>
          </w:tcPr>
          <w:p w:rsidR="008F32B7" w:rsidRDefault="008F32B7" w:rsidP="008F32B7">
            <w:pPr>
              <w:jc w:val="center"/>
              <w:rPr>
                <w:lang w:val="es-MX"/>
              </w:rPr>
            </w:pPr>
            <w:r>
              <w:rPr>
                <w:lang w:val="es-MX"/>
              </w:rPr>
              <w:t>286</w:t>
            </w:r>
          </w:p>
        </w:tc>
        <w:tc>
          <w:tcPr>
            <w:tcW w:w="1367" w:type="dxa"/>
            <w:vAlign w:val="center"/>
          </w:tcPr>
          <w:p w:rsidR="008F32B7" w:rsidRDefault="008F32B7" w:rsidP="008F32B7">
            <w:pPr>
              <w:jc w:val="center"/>
              <w:rPr>
                <w:lang w:val="es-MX"/>
              </w:rPr>
            </w:pPr>
            <w:r>
              <w:rPr>
                <w:lang w:val="es-MX"/>
              </w:rPr>
              <w:t>0.29</w:t>
            </w:r>
          </w:p>
        </w:tc>
        <w:tc>
          <w:tcPr>
            <w:tcW w:w="1367" w:type="dxa"/>
            <w:vAlign w:val="center"/>
          </w:tcPr>
          <w:p w:rsidR="008F32B7" w:rsidRDefault="008F32B7" w:rsidP="008F32B7">
            <w:pPr>
              <w:jc w:val="center"/>
              <w:rPr>
                <w:lang w:val="es-MX"/>
              </w:rPr>
            </w:pPr>
            <w:r>
              <w:rPr>
                <w:lang w:val="es-MX"/>
              </w:rPr>
              <w:t>19.3x10</w:t>
            </w:r>
            <w:r w:rsidRPr="008F32B7">
              <w:rPr>
                <w:vertAlign w:val="superscript"/>
                <w:lang w:val="es-MX"/>
              </w:rPr>
              <w:t>-6</w:t>
            </w:r>
          </w:p>
        </w:tc>
        <w:tc>
          <w:tcPr>
            <w:tcW w:w="1367" w:type="dxa"/>
            <w:vAlign w:val="center"/>
          </w:tcPr>
          <w:p w:rsidR="008F32B7" w:rsidRDefault="008F32B7" w:rsidP="008F32B7">
            <w:pPr>
              <w:jc w:val="center"/>
              <w:rPr>
                <w:lang w:val="es-MX"/>
              </w:rPr>
            </w:pPr>
            <w:r>
              <w:rPr>
                <w:lang w:val="es-MX"/>
              </w:rPr>
              <w:t>0.02</w:t>
            </w:r>
          </w:p>
        </w:tc>
      </w:tr>
      <w:tr w:rsidR="008F32B7" w:rsidTr="008F32B7">
        <w:trPr>
          <w:jc w:val="center"/>
        </w:trPr>
        <w:tc>
          <w:tcPr>
            <w:tcW w:w="2268" w:type="dxa"/>
          </w:tcPr>
          <w:p w:rsidR="008F32B7" w:rsidRDefault="008F32B7">
            <w:pPr>
              <w:rPr>
                <w:lang w:val="es-MX"/>
              </w:rPr>
            </w:pPr>
            <w:r>
              <w:rPr>
                <w:lang w:val="es-MX"/>
              </w:rPr>
              <w:t>Verde-blanco (M2)</w:t>
            </w:r>
          </w:p>
        </w:tc>
        <w:tc>
          <w:tcPr>
            <w:tcW w:w="1366" w:type="dxa"/>
            <w:vAlign w:val="center"/>
          </w:tcPr>
          <w:p w:rsidR="008F32B7" w:rsidRDefault="008F32B7" w:rsidP="008F32B7">
            <w:pPr>
              <w:jc w:val="center"/>
              <w:rPr>
                <w:lang w:val="es-MX"/>
              </w:rPr>
            </w:pPr>
            <w:r>
              <w:rPr>
                <w:lang w:val="es-MX"/>
              </w:rPr>
              <w:t>1.09</w:t>
            </w:r>
          </w:p>
        </w:tc>
        <w:tc>
          <w:tcPr>
            <w:tcW w:w="1367" w:type="dxa"/>
            <w:vAlign w:val="center"/>
          </w:tcPr>
          <w:p w:rsidR="008F32B7" w:rsidRDefault="008F32B7" w:rsidP="008F32B7">
            <w:pPr>
              <w:jc w:val="center"/>
              <w:rPr>
                <w:lang w:val="es-MX"/>
              </w:rPr>
            </w:pPr>
            <w:r>
              <w:rPr>
                <w:lang w:val="es-MX"/>
              </w:rPr>
              <w:t>339</w:t>
            </w:r>
          </w:p>
        </w:tc>
        <w:tc>
          <w:tcPr>
            <w:tcW w:w="1367" w:type="dxa"/>
            <w:vAlign w:val="center"/>
          </w:tcPr>
          <w:p w:rsidR="008F32B7" w:rsidRDefault="008F32B7" w:rsidP="008F32B7">
            <w:pPr>
              <w:jc w:val="center"/>
              <w:rPr>
                <w:lang w:val="es-MX"/>
              </w:rPr>
            </w:pPr>
            <w:r>
              <w:rPr>
                <w:lang w:val="es-MX"/>
              </w:rPr>
              <w:t>0.29</w:t>
            </w:r>
          </w:p>
        </w:tc>
        <w:tc>
          <w:tcPr>
            <w:tcW w:w="1367" w:type="dxa"/>
            <w:vAlign w:val="center"/>
          </w:tcPr>
          <w:p w:rsidR="008F32B7" w:rsidRDefault="008F32B7" w:rsidP="008F32B7">
            <w:pPr>
              <w:jc w:val="center"/>
              <w:rPr>
                <w:lang w:val="es-MX"/>
              </w:rPr>
            </w:pPr>
            <w:r>
              <w:rPr>
                <w:lang w:val="es-MX"/>
              </w:rPr>
              <w:t>19.3x10</w:t>
            </w:r>
            <w:r w:rsidRPr="008F32B7">
              <w:rPr>
                <w:vertAlign w:val="superscript"/>
                <w:lang w:val="es-MX"/>
              </w:rPr>
              <w:t>-6</w:t>
            </w:r>
          </w:p>
        </w:tc>
        <w:tc>
          <w:tcPr>
            <w:tcW w:w="1367" w:type="dxa"/>
            <w:vAlign w:val="center"/>
          </w:tcPr>
          <w:p w:rsidR="008F32B7" w:rsidRDefault="008F32B7" w:rsidP="008F32B7">
            <w:pPr>
              <w:jc w:val="center"/>
              <w:rPr>
                <w:lang w:val="es-MX"/>
              </w:rPr>
            </w:pPr>
            <w:r>
              <w:rPr>
                <w:lang w:val="es-MX"/>
              </w:rPr>
              <w:t>0.02</w:t>
            </w:r>
          </w:p>
        </w:tc>
      </w:tr>
    </w:tbl>
    <w:p w:rsidR="00A6549D" w:rsidRDefault="00A6549D">
      <w:pPr>
        <w:rPr>
          <w:lang w:val="es-MX"/>
        </w:rPr>
      </w:pPr>
    </w:p>
    <w:p w:rsidR="00A916A7" w:rsidRDefault="008F32B7">
      <w:pPr>
        <w:rPr>
          <w:lang w:val="es-MX"/>
        </w:rPr>
      </w:pPr>
      <w:r>
        <w:rPr>
          <w:lang w:val="es-MX"/>
        </w:rPr>
        <w:t>La respuesta de ambos sistemas ante un escalón de amplitud 1V se muestra en la</w:t>
      </w:r>
      <w:r w:rsidR="00A66F57">
        <w:rPr>
          <w:lang w:val="es-MX"/>
        </w:rPr>
        <w:t>s</w:t>
      </w:r>
      <w:r>
        <w:rPr>
          <w:lang w:val="es-MX"/>
        </w:rPr>
        <w:t xml:space="preserve"> siguiente</w:t>
      </w:r>
      <w:r w:rsidR="00A66F57">
        <w:rPr>
          <w:lang w:val="es-MX"/>
        </w:rPr>
        <w:t>s</w:t>
      </w:r>
      <w:r>
        <w:rPr>
          <w:lang w:val="es-MX"/>
        </w:rPr>
        <w:t xml:space="preserve"> figura</w:t>
      </w:r>
      <w:r w:rsidR="00A66F57">
        <w:rPr>
          <w:lang w:val="es-MX"/>
        </w:rPr>
        <w:t>s</w:t>
      </w:r>
      <w:r>
        <w:rPr>
          <w:lang w:val="es-MX"/>
        </w:rPr>
        <w:t>.</w:t>
      </w:r>
    </w:p>
    <w:p w:rsidR="00961F1B" w:rsidRDefault="008F32B7" w:rsidP="00961F1B">
      <w:pPr>
        <w:jc w:val="center"/>
        <w:rPr>
          <w:lang w:val="es-MX"/>
        </w:rPr>
      </w:pPr>
      <w:r>
        <w:rPr>
          <w:noProof/>
        </w:rPr>
        <w:drawing>
          <wp:inline distT="0" distB="0" distL="0" distR="0">
            <wp:extent cx="48615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_response_M_R_N.jpg"/>
                    <pic:cNvPicPr/>
                  </pic:nvPicPr>
                  <pic:blipFill rotWithShape="1">
                    <a:blip r:embed="rId6" cstate="print">
                      <a:extLst>
                        <a:ext uri="{28A0092B-C50C-407E-A947-70E740481C1C}">
                          <a14:useLocalDpi xmlns:a14="http://schemas.microsoft.com/office/drawing/2010/main" val="0"/>
                        </a:ext>
                      </a:extLst>
                    </a:blip>
                    <a:srcRect l="10128" t="4515" r="8077" b="6157"/>
                    <a:stretch/>
                  </pic:blipFill>
                  <pic:spPr bwMode="auto">
                    <a:xfrm>
                      <a:off x="0" y="0"/>
                      <a:ext cx="4861560" cy="2865120"/>
                    </a:xfrm>
                    <a:prstGeom prst="rect">
                      <a:avLst/>
                    </a:prstGeom>
                    <a:ln>
                      <a:noFill/>
                    </a:ln>
                    <a:extLst>
                      <a:ext uri="{53640926-AAD7-44D8-BBD7-CCE9431645EC}">
                        <a14:shadowObscured xmlns:a14="http://schemas.microsoft.com/office/drawing/2010/main"/>
                      </a:ext>
                    </a:extLst>
                  </pic:spPr>
                </pic:pic>
              </a:graphicData>
            </a:graphic>
          </wp:inline>
        </w:drawing>
      </w:r>
    </w:p>
    <w:p w:rsidR="00961F1B" w:rsidRPr="00961F1B" w:rsidRDefault="00961F1B" w:rsidP="00961F1B">
      <w:pPr>
        <w:pStyle w:val="Caption"/>
        <w:rPr>
          <w:lang w:val="es-MX"/>
        </w:rPr>
      </w:pPr>
      <w:r w:rsidRPr="00961F1B">
        <w:rPr>
          <w:lang w:val="es-MX"/>
        </w:rPr>
        <w:t xml:space="preserve">Figura </w:t>
      </w:r>
      <w:r>
        <w:fldChar w:fldCharType="begin"/>
      </w:r>
      <w:r w:rsidRPr="00961F1B">
        <w:rPr>
          <w:lang w:val="es-MX"/>
        </w:rPr>
        <w:instrText xml:space="preserve"> SEQ Figura \* ARABIC </w:instrText>
      </w:r>
      <w:r>
        <w:fldChar w:fldCharType="separate"/>
      </w:r>
      <w:r>
        <w:rPr>
          <w:noProof/>
          <w:lang w:val="es-MX"/>
        </w:rPr>
        <w:t>1</w:t>
      </w:r>
      <w:r>
        <w:fldChar w:fldCharType="end"/>
      </w:r>
      <w:r w:rsidRPr="00961F1B">
        <w:rPr>
          <w:lang w:val="es-MX"/>
        </w:rPr>
        <w:t xml:space="preserve"> Respuesta del motor 1 ante un escalón de 1V</w:t>
      </w:r>
    </w:p>
    <w:p w:rsidR="00961F1B" w:rsidRDefault="00961F1B">
      <w:pPr>
        <w:rPr>
          <w:lang w:val="es-MX"/>
        </w:rPr>
      </w:pPr>
    </w:p>
    <w:p w:rsidR="008F32B7" w:rsidRDefault="008F32B7" w:rsidP="00961F1B">
      <w:pPr>
        <w:jc w:val="center"/>
        <w:rPr>
          <w:lang w:val="es-MX"/>
        </w:rPr>
      </w:pPr>
      <w:r>
        <w:rPr>
          <w:noProof/>
        </w:rPr>
        <w:lastRenderedPageBreak/>
        <w:drawing>
          <wp:inline distT="0" distB="0" distL="0" distR="0">
            <wp:extent cx="488442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_response_M_V_B.jpg"/>
                    <pic:cNvPicPr/>
                  </pic:nvPicPr>
                  <pic:blipFill rotWithShape="1">
                    <a:blip r:embed="rId7" cstate="print">
                      <a:extLst>
                        <a:ext uri="{28A0092B-C50C-407E-A947-70E740481C1C}">
                          <a14:useLocalDpi xmlns:a14="http://schemas.microsoft.com/office/drawing/2010/main" val="0"/>
                        </a:ext>
                      </a:extLst>
                    </a:blip>
                    <a:srcRect l="10000" t="5227" r="7821" b="5681"/>
                    <a:stretch/>
                  </pic:blipFill>
                  <pic:spPr bwMode="auto">
                    <a:xfrm>
                      <a:off x="0" y="0"/>
                      <a:ext cx="4884420" cy="2857500"/>
                    </a:xfrm>
                    <a:prstGeom prst="rect">
                      <a:avLst/>
                    </a:prstGeom>
                    <a:ln>
                      <a:noFill/>
                    </a:ln>
                    <a:extLst>
                      <a:ext uri="{53640926-AAD7-44D8-BBD7-CCE9431645EC}">
                        <a14:shadowObscured xmlns:a14="http://schemas.microsoft.com/office/drawing/2010/main"/>
                      </a:ext>
                    </a:extLst>
                  </pic:spPr>
                </pic:pic>
              </a:graphicData>
            </a:graphic>
          </wp:inline>
        </w:drawing>
      </w:r>
    </w:p>
    <w:p w:rsidR="00961F1B" w:rsidRDefault="00961F1B" w:rsidP="00961F1B">
      <w:pPr>
        <w:pStyle w:val="Caption"/>
        <w:rPr>
          <w:lang w:val="es-MX"/>
        </w:rPr>
      </w:pPr>
      <w:r w:rsidRPr="00961F1B">
        <w:rPr>
          <w:lang w:val="es-MX"/>
        </w:rPr>
        <w:t xml:space="preserve">Figura </w:t>
      </w:r>
      <w:r>
        <w:fldChar w:fldCharType="begin"/>
      </w:r>
      <w:r w:rsidRPr="00961F1B">
        <w:rPr>
          <w:lang w:val="es-MX"/>
        </w:rPr>
        <w:instrText xml:space="preserve"> SEQ Figura \* ARABIC </w:instrText>
      </w:r>
      <w:r>
        <w:fldChar w:fldCharType="separate"/>
      </w:r>
      <w:r w:rsidRPr="00961F1B">
        <w:rPr>
          <w:noProof/>
          <w:lang w:val="es-MX"/>
        </w:rPr>
        <w:t>2</w:t>
      </w:r>
      <w:r>
        <w:fldChar w:fldCharType="end"/>
      </w:r>
      <w:r w:rsidRPr="00961F1B">
        <w:rPr>
          <w:noProof/>
          <w:lang w:val="es-MX"/>
        </w:rPr>
        <w:t xml:space="preserve">   Respuesta del motor </w:t>
      </w:r>
      <w:r>
        <w:rPr>
          <w:noProof/>
          <w:lang w:val="es-MX"/>
        </w:rPr>
        <w:t>2 ante un escaló</w:t>
      </w:r>
      <w:r w:rsidRPr="00961F1B">
        <w:rPr>
          <w:noProof/>
          <w:lang w:val="es-MX"/>
        </w:rPr>
        <w:t>n de 1V</w:t>
      </w:r>
    </w:p>
    <w:p w:rsidR="008F32B7" w:rsidRDefault="008F32B7" w:rsidP="00A66F57">
      <w:pPr>
        <w:ind w:firstLine="720"/>
        <w:rPr>
          <w:lang w:val="es-MX"/>
        </w:rPr>
      </w:pPr>
      <w:r>
        <w:rPr>
          <w:lang w:val="es-MX"/>
        </w:rPr>
        <w:t xml:space="preserve">La respuesta de ambos </w:t>
      </w:r>
      <w:r w:rsidR="00A66F57">
        <w:rPr>
          <w:lang w:val="es-MX"/>
        </w:rPr>
        <w:t>motores</w:t>
      </w:r>
      <w:r>
        <w:rPr>
          <w:lang w:val="es-MX"/>
        </w:rPr>
        <w:t xml:space="preserve"> es prácticamente igual, sin embargo en la práctica el motor </w:t>
      </w:r>
      <w:r w:rsidR="00A66F57">
        <w:rPr>
          <w:lang w:val="es-MX"/>
        </w:rPr>
        <w:t>1</w:t>
      </w:r>
      <w:r w:rsidR="00A821E7">
        <w:rPr>
          <w:lang w:val="es-MX"/>
        </w:rPr>
        <w:t xml:space="preserve"> necesita 5% más de duty</w:t>
      </w:r>
      <w:r w:rsidR="00A66F57">
        <w:rPr>
          <w:lang w:val="es-MX"/>
        </w:rPr>
        <w:t xml:space="preserve"> cycle que el motor 2</w:t>
      </w:r>
      <w:r w:rsidR="00A821E7">
        <w:rPr>
          <w:lang w:val="es-MX"/>
        </w:rPr>
        <w:t xml:space="preserve"> para arrancar y mantener una trayectoria en línea recta, esto quiere decir que el retardo introducido por I y B es mayor en el primer motor que en el segundo. </w:t>
      </w:r>
    </w:p>
    <w:p w:rsidR="000952C1" w:rsidRDefault="00A821E7" w:rsidP="00A66F57">
      <w:pPr>
        <w:ind w:firstLine="720"/>
        <w:rPr>
          <w:lang w:val="es-MX"/>
        </w:rPr>
      </w:pPr>
      <w:r>
        <w:rPr>
          <w:lang w:val="es-MX"/>
        </w:rPr>
        <w:t>El siguiente paso a seguir para continuar con el trabajo con los motores es la sintonización de un controlador PID que permita que el sistema pueda disminuir el error en estado estacionario, disminuir el máximo sobrepico</w:t>
      </w:r>
      <w:r w:rsidR="000952C1">
        <w:rPr>
          <w:lang w:val="es-MX"/>
        </w:rPr>
        <w:t xml:space="preserve"> y establecer un tiempo de respuesta del sistema tal esté acompasado con el tiempo de muestreo del microcontrolador. A</w:t>
      </w:r>
      <w:r w:rsidR="00C2091B">
        <w:rPr>
          <w:lang w:val="es-MX"/>
        </w:rPr>
        <w:t>ún esto no se ha llevado a cabo, se espera que en dos semanas tantos los parámetros del controlador estés establecidos como el código que corresponde a esta sección elaborado.</w:t>
      </w:r>
      <w:bookmarkStart w:id="0" w:name="_GoBack"/>
      <w:bookmarkEnd w:id="0"/>
    </w:p>
    <w:p w:rsidR="00C2091B" w:rsidRPr="00C91AA5" w:rsidRDefault="00C2091B" w:rsidP="00A66F57">
      <w:pPr>
        <w:ind w:firstLine="720"/>
        <w:rPr>
          <w:lang w:val="es-MX"/>
        </w:rPr>
      </w:pPr>
    </w:p>
    <w:sectPr w:rsidR="00C2091B" w:rsidRPr="00C9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A5"/>
    <w:rsid w:val="000952C1"/>
    <w:rsid w:val="001D43FB"/>
    <w:rsid w:val="00821150"/>
    <w:rsid w:val="008F32B7"/>
    <w:rsid w:val="00961F1B"/>
    <w:rsid w:val="00A6549D"/>
    <w:rsid w:val="00A66F57"/>
    <w:rsid w:val="00A821E7"/>
    <w:rsid w:val="00A86359"/>
    <w:rsid w:val="00A916A7"/>
    <w:rsid w:val="00C2091B"/>
    <w:rsid w:val="00C91AA5"/>
    <w:rsid w:val="00EC7F53"/>
    <w:rsid w:val="00F3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5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3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B7"/>
    <w:rPr>
      <w:rFonts w:ascii="Tahoma" w:hAnsi="Tahoma" w:cs="Tahoma"/>
      <w:sz w:val="16"/>
      <w:szCs w:val="16"/>
    </w:rPr>
  </w:style>
  <w:style w:type="paragraph" w:styleId="Caption">
    <w:name w:val="caption"/>
    <w:basedOn w:val="Normal"/>
    <w:next w:val="Normal"/>
    <w:uiPriority w:val="35"/>
    <w:unhideWhenUsed/>
    <w:qFormat/>
    <w:rsid w:val="00961F1B"/>
    <w:pPr>
      <w:spacing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5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3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B7"/>
    <w:rPr>
      <w:rFonts w:ascii="Tahoma" w:hAnsi="Tahoma" w:cs="Tahoma"/>
      <w:sz w:val="16"/>
      <w:szCs w:val="16"/>
    </w:rPr>
  </w:style>
  <w:style w:type="paragraph" w:styleId="Caption">
    <w:name w:val="caption"/>
    <w:basedOn w:val="Normal"/>
    <w:next w:val="Normal"/>
    <w:uiPriority w:val="35"/>
    <w:unhideWhenUsed/>
    <w:qFormat/>
    <w:rsid w:val="00961F1B"/>
    <w:pPr>
      <w:spacing w:line="240" w:lineRule="auto"/>
      <w:jc w:val="center"/>
    </w:pPr>
    <w:rPr>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B65E-C46A-4E74-9127-784C35AD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 Carolina</dc:creator>
  <cp:lastModifiedBy>Samira Carolina</cp:lastModifiedBy>
  <cp:revision>5</cp:revision>
  <dcterms:created xsi:type="dcterms:W3CDTF">2018-06-03T04:25:00Z</dcterms:created>
  <dcterms:modified xsi:type="dcterms:W3CDTF">2018-06-03T06:47:00Z</dcterms:modified>
</cp:coreProperties>
</file>