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4 · Логарифмічні частотні характеристики розімкненої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Асимптотична ЛАЧХ розімкненої системи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Логарифмічні частотні характеристики; частоти спряження; нахили ±20·n дБ/дек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ПЗ4, аркуші 3–4 (частоти спряження, нахили) і рис. 1 (верхній графік) на аркуші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ТАУ/ПЗ4_Кравченко_ІР-31_варіант8.docx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Побудувати L(ω) ламаною за типовими ланками передатної функції з ПЗ3.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Беру передатну функцію розімкненої системи з ПЗ3: W(p) = 10(0,01p + 1)(0,02p + 1) / (p(p² + 1,4p + 1)). Розкладаю її на типові ланки, бо ЛАЧХ послідовного з’єднання — це сума ЛАЧХ ланок.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Ланки: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підсилювальна k = 10, інтегруюча 1/p, коливальна 1/(T₃²p² + 2ζT₃p + 1), дві форсуючі (T₁p + 1) і (T₂p + 1).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Частоти спряження: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ω₃ = 1/T₃ = 1 с⁻¹ (коливальна, −40), ω₂ = 1/T₂ = 50 с⁻¹ (+20), ω₁ = 1/T₁ = 100 с⁻¹ (+20).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Точка A: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 ω = 1 відкладаю 20lg k = 20lg 10 = 20 дБ.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Початковий нахил: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астатизм ν = 1, тому −20 дБ/дек; на 0,1 с⁻¹ це 40 дБ.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Зміна нахилів: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до 1 — −20; від 1 до 50 — −60; від 50 до 100 — −40; після 100 — −20 дБ/дек.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Горб коливальної ланки: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при ζ = 0,7 менший за 3 дБ, тому не враховую.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Частота зрізу: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20 − 60lg ω_зр = 0 → ω_зр = 10^(1/3) ≈ 2,15 с⁻¹ (точно ≈ 2,14).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точка A саме на ω = 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на ω = 1 lg ω = 0 і внесок інтегруючої ланки −20lg ω дорівнює нулю — лишається 20lg k.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після ω = 1 нахил змінюється на −40, а не на −20?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Коливальна ланка — другого порядку: її асимптота після частоти спряження має нахил −40 дБ/дек.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декада?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Інтервал частот, на якому ω змінюється в 10 разів; на логарифмічній осі всі декади однакові.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умова ζ = 0,7 щодо горба?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 малих ζ резонансний пік поблизу ω₃ великий і асимптоту треба поправляти; при ζ ≈ 0,7 пік менший за 3 дБ, ним нехтують.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Контрольні точки асимптоти: L(0,1) = 40 дБ, L(50) ≈ −82 дБ, L(100) ≈ −94 дБ, L(1000) ≈ −114 дБ.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