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4 · Логарифмічні частотні характеристики розімкненої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ЛФЧХ, таблиця 1 і висновок про запас стійкості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Фазочастотна характеристика як сума фаз ланок; запас за фазою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ПЗ4, таблиця 1 (аркуш 5), рис. 1 (нижній графік) і пункт 7 «Аналіз» (аркуш 6)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ТАУ/ПЗ4_Кравченко_ІР-31_варіант8.docx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Розрахувати точну ЛФЧХ, побудувати її під ЛАЧХ і зробити висновок.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Фазу рахую точно за формулою φ(ω) = −90° − arctg(2ζT₃ω/(1 − T₃²ω²)) + arctg T₂ω + arctg T₁ω і зводжу в таблицю 1 для 11 частот.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−90°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дає інтегруюча ланка на всіх частотах.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Коливальна ланка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 0 до −180°; при ω &gt; 1 знаменник під арктангенсом від’ємний, тому беру гілку за −90°.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Форсуючі ланки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додають від 0 до +90° кожна.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Граничні значення: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ω → 0 φ → −90°; ω → ∞ φ → −90° − 180° + 90° + 90° = −90°.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Мінімум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≈ −245° при ω ≈ 5–10 с⁻¹.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Аналіз: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фаза −180° на ω ≈ 1,02 с⁻¹, де L ≈ +17 дБ &gt; 0; на ω_зр ≈ 2,1 с⁻¹ φ ≈ −226°, запас за фазою γ ≈ −46° — замкнена система нестійка, як і показав Гурвіц у ПЗ3.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ЛФЧХ розраховуєте точно, а ЛАЧХ асимптотично?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Асимптотична фаза дає надто грубі стрибки; методика лекції вимагає точної ЛФЧХ за формулою (4.3).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запас стійкості за фазою?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γ = 180° + φ(ω_зр) — на скільки фазу можна ще зменшити до межі стійкості; тут він від’ємний.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зробити систему стійкою?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Зменшити k: ЛАЧХ опуститься, ω_зр зсунеться ліворуч, де фаза вища за −180°.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графік φ(ω) будують точно під L(ω)?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на одній вертикалі бачити амплітуду і фазу тієї самої частоти — це потрібно для аналізу стійкості.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Значення в таблиці — сума округлених складових, тому остання цифра може відрізнятися на 0,1°.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