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КР · Курсова робота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Дерево цілей і робоча структура проєкту (WBS)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«і/або»-дерево методом дезагрегації; WBS: проєкт — субпроєкт — блок — робочий пакет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1.4–1.5; рисунки 1.2, 1.3; таблиця 1.3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КР_Кравченко_ІР-31.docx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як мета розкладається на вимірювані цілі та як проєкт розкладається на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Генеральна мета — «Забезпечення безпеки повітряного простору на території, яку покриває система». Дерево побудовано методом дезагрегації: 5 цілей першого рівня, 15 — другого, 30 заходів.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Рисунок 1.2 — усе дерево на одній схемі: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суцільна рамка — обов’язковий захід («і»), пунктирна — альтернативи «а»/«б» («або»).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Взаємозв’язки: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ціль 1 (обізнаність) — основа цілі 2 (нейтралізація); ціль 4 (готовність) забезпечує ціль 2; ціль 3 (безпека своїх) обмежує застосування; ціль 5 (стійкість) — умова всіх.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Критерії: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напр., «підтвердження треку — призначення» ≤ 30 с, доставка завдання ≤ 1 с, 100 % пусків із санкцією другої особи.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Рисунок 1.3 і таблиця 1.3 — WBS: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8 субпроєктів, 20 блоків, 42 робочі пакети; коди 1 / 1.1 / 1.1.1 / 1.1.1.1; змішаний принцип — етапи (1.1, 1.2, 1.8) і підсистеми-продукти (1.3–1.7).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Бюджет 29 330 тис. грн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отримано сумуванням вартості пакетів (зворотні обчислення); найдорожчі — інфраструктура та кібербезпека (7 450 тис. грн).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метод дезагрегації, а не забезпечення необхідних умов?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Система, що створюється, має формалізовані цілі: перший рівень — функціонально значущі цілі без альтернатив, нижче — заходи «і/або». Саме для таких цілей лабораторна № 1 рекомендує дезагрегацію.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WBS має чотири рівні?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Методичні вказівки ЛР1: для сучасних компаній оптимально чотири; нижній рівень — робочий пакет з одним відповідальним, тривалістю й вартістю.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етапи WBS пов’язані зі стандартами?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Етапи відповідають стадіям ГОСТ 34.601-90: обстеження (1.2.1), ТЗ за ГОСТ 34.602-89 (1.2.2), розроблення (1.3–1.7), введення в дію (1.8).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Дерево цілей і WBS узято з ЛР1 тим самим генератором — одне джерело даних, тому цифри в ЛР1 і КР збігаються.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