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КР · Курсова робота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UML: варіанти використання, діяльність, послідовність, класи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2.5.1: актори, прецеденти, include/extend; граф дій; лінії життя й alt; класи й кратності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2.2; рисунки 2.4–2.8; таблиця 2.1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КР_Кравченко_ІР-31.docx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6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що UML-модель збігається з кодом прототипу.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Використано чотири обов’язкові діаграми; їхню відповідність коду перевіряє автоматичний тест — назви прецедентів, функцій, тригерів і таблиць звіряються з програмою.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Рисунок 2.4 — бойове управління UC1–UC12: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UC3 включає UC4 (підбір розрахунку), UC12 розширює UC5 за умови «відмова»; </w:t>
      </w:r>
      <w:r>
        <w:rPr>
          <w:rFonts w:ascii="Times New Roman" w:hAnsi="Times New Roman" w:eastAsia="Times New Roman"/>
          <w:b/>
          <w:i w:val="0"/>
          <w:sz w:val="26"/>
        </w:rPr>
        <w:t>таблиця 2.1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специфікація UC3 з основним і альтернативними потоками.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Рисунок 2.5 — забезпечення та адміністрування UC13–UC21: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облік сенсорів і перехоплювачів, ресурси, показники, користувачі, матриця прав, аудит.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Рисунок 2.6 — діяльність: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усі 8 переходів mission_transition; кожен перевіряє trg_mission_guard.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Рисунок 2.7 — послідовність: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застосунок передає СКБД ідентифікатор користувача (set_config), викликає функцію, а у фрагменті alt фіксує або відкочує транзакцію й показує причину.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Рисунок 2.8 — класи: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10 класів предметної області з 20 таблиць; дві асоціації «запропонував» і «санкціонував» — це і є правило двох осіб; композиція «Місія — ПодіяМісії».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include відрізняється від extend?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Include — базовий прецедент завжди виконує включений (UC3 завжди підбирає розрахунок); extend — розширення лише за умови (UC12 — лише при відмові).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на діаграмі класів 10 класів, а таблиць 20?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Не показано службові таблиці: RBAC, довідники, позиції, переходи станів, телеметрію й аудит — це перелічено в тексті, щоб діаграма лишалася читабельною.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означає 0..1 біля звіту?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Місія має не більше одного звіту: у БД це UNIQUE на mission_id у звіті.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Узгодженість діаграм: доріжки ОБУ й ОЧ з BPMN стали акторами, прецеденти — правами доступу й сторінками, класи — таблицями (підрозділ 2.2.5).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