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Таблиці дерева цілей і WBS: показники, методи, етапи, характеристики, бюджет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Вершини дерева з показниками; порівняння методів; 6 етапів WBS; робочі пакети; зворотні обчислення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Табл. 1.6–1.11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ЛР1_Кравченко_ІР-31.docx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Показати, що цілі вимірювані, метод обґрунтований, а бюджет зібрано знизу догори.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Табл. 1.6 — шість вершин (0–5) з показниками, напр. «підтвердження треку — призначення» ≤ 30 с, 100 % пусків із санкцією другої особи.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Табл. 1.7 — порівняння методів: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дезагрегація підходить для формалізованих цілей створюваного об’єкта, тому для ІС «Щит-Лінк» її придатність висока.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Табл. 1.8 — шість етапів WBS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застосовано до проєкту: деталізація, чотири рівні, 8 субпроєктів, опис елементів, коди 1 / 1.1 / 1.1.1 / 1.1.1.1, зворотні обчислення.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Табл. 1.9 — характеристики проєкту: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обсяг робіт, відповідальні, бюджет, ресурси, дати 02.11.2026 — 29.10.2027.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Табл. 1.10 — робочі пакети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 відповідальним, тривалістю й бюджетом.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Табл. 1.11 — зворотні обчислення: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42 пакети, разом 29 330 тис. грн; найбільша частка — інфраструктура та кібербезпека (25,4 %).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отримано бюджет 29 330 тис. грн?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Сумуванням вартості робочих пакетів кожного субпроєкту (табл. 1.11), а не оцінкою «зверху».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інфраструктура — найдорожча?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У неї входить розгортання двох ЦОД (3 600 тис. грн) і створення КСЗІ з державною експертизою.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не метод забезпечення необхідних умов?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Він потребує незалежної експертизи й підходить для неформалізованих цілей; у нас цілі прив’язані до підсистем ІС (табл. 1.7).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Тривалості й вартості пакетів беруться з однієї структури WBS, з якої будуються і рисунки, і таблиці, — тому вони не розходяться.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