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69" w:lineRule="auto"/>
      </w:pPr>
      <w:r>
        <w:rPr>
          <w:rFonts w:ascii="Times New Roman" w:hAnsi="Times New Roman" w:eastAsia="Times New Roman"/>
          <w:b w:val="0"/>
          <w:i/>
          <w:color w:val="595959"/>
          <w:sz w:val="21"/>
        </w:rPr>
        <w:t>СУФЛЕР ДО ЗАХИСТУ · ЛР 1 · Вибір об’єкта дослідження, дерево цілей і WBS</w:t>
      </w:r>
    </w:p>
    <w:p>
      <w:pPr>
        <w:spacing w:before="0" w:after="120" w:line="269" w:lineRule="auto"/>
      </w:pPr>
      <w:r>
        <w:rPr>
          <w:rFonts w:ascii="Times New Roman" w:hAnsi="Times New Roman" w:eastAsia="Times New Roman"/>
          <w:b/>
          <w:i w:val="0"/>
          <w:sz w:val="34"/>
        </w:rPr>
        <w:t>Робоча структура проєкту «Створення IoT-платформи „Щит-Лінк“»: рівні 1–2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Дисципліна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Проєктування інформаційних систем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Нотація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WBS (Work Breakdown Structure), продуктовий принцип (лекція 2)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Рисунок у звіті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рис. 1.4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Файл draw.io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draw.io/09_WBS_рівні_1_2.drawio (у папці роботи)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Порядок показу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4 з 10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Роль у системі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Верхній рівень робочої структури проєкту: проєкт і вісім субпроєктів.</w:t>
            </w:r>
          </w:p>
        </w:tc>
      </w:tr>
    </w:tbl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1. З чого почати відповідь</w:t>
      </w:r>
    </w:p>
    <w:p>
      <w:pPr>
        <w:spacing w:before="0" w:after="80" w:line="269" w:lineRule="auto"/>
        <w:ind w:left="227"/>
      </w:pPr>
      <w:r>
        <w:rPr>
          <w:rFonts w:ascii="Times New Roman" w:hAnsi="Times New Roman" w:eastAsia="Times New Roman"/>
          <w:b w:val="0"/>
          <w:i w:val="0"/>
          <w:sz w:val="27"/>
        </w:rPr>
        <w:t>Це WBS проєкту створення платформи «Щит-Лінк» — ієрархія результатів проєкту, як визначає лекція 2. Проєкт триває 12 місяців, з 02.11.2026 до 29.10.2027, бюджет — 29 330 тис. грн (умовна оцінка).</w:t>
      </w:r>
    </w:p>
    <w:p>
      <w:pPr>
        <w:spacing w:before="0" w:after="80" w:line="269" w:lineRule="auto"/>
        <w:ind w:left="227"/>
      </w:pPr>
      <w:r>
        <w:rPr>
          <w:rFonts w:ascii="Times New Roman" w:hAnsi="Times New Roman" w:eastAsia="Times New Roman"/>
          <w:b w:val="0"/>
          <w:i w:val="0"/>
          <w:sz w:val="27"/>
        </w:rPr>
        <w:t>Структуру я побудував за продуктовим принципом: субпроєкти відповідають підсистемам платформи плюс наскрізні роботи.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2. Покрокова екскурсія по схемі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1. </w:t>
      </w:r>
      <w:r>
        <w:rPr>
          <w:rFonts w:ascii="Times New Roman" w:hAnsi="Times New Roman" w:eastAsia="Times New Roman"/>
          <w:b/>
          <w:i w:val="0"/>
          <w:sz w:val="26"/>
        </w:rPr>
        <w:t>Рівень 1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— сам проєкт «1 Створення IoT-платформи «Щит-Лінк»».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2. </w:t>
      </w:r>
      <w:r>
        <w:rPr>
          <w:rFonts w:ascii="Times New Roman" w:hAnsi="Times New Roman" w:eastAsia="Times New Roman"/>
          <w:b/>
          <w:i w:val="0"/>
          <w:sz w:val="26"/>
        </w:rPr>
        <w:t>Наскрізні субпроєкти</w:t>
      </w:r>
      <w:r>
        <w:rPr>
          <w:rFonts w:ascii="Times New Roman" w:hAnsi="Times New Roman" w:eastAsia="Times New Roman"/>
          <w:b w:val="0"/>
          <w:i w:val="0"/>
          <w:sz w:val="26"/>
        </w:rPr>
        <w:t>: 1.1 «Управління проєктом», 1.2 «Обстеження та формування вимог», 1.7 «Інфраструктура та кібербезпека», 1.8 «Впровадження».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3. </w:t>
      </w:r>
      <w:r>
        <w:rPr>
          <w:rFonts w:ascii="Times New Roman" w:hAnsi="Times New Roman" w:eastAsia="Times New Roman"/>
          <w:b/>
          <w:i w:val="0"/>
          <w:sz w:val="26"/>
        </w:rPr>
        <w:t>Продуктові субпроєкти — підсистеми</w:t>
      </w:r>
      <w:r>
        <w:rPr>
          <w:rFonts w:ascii="Times New Roman" w:hAnsi="Times New Roman" w:eastAsia="Times New Roman"/>
          <w:b w:val="0"/>
          <w:i w:val="0"/>
          <w:sz w:val="26"/>
        </w:rPr>
        <w:t>: 1.3 «Підсистема збору телеметрії», 1.4 «Підсистема ситуаційної обізнаності», 1.5 «Підсистема координації перехоплення», 1.6 «Підсистема ресурсів, аналітики та звітності».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4. </w:t>
      </w:r>
      <w:r>
        <w:rPr>
          <w:rFonts w:ascii="Times New Roman" w:hAnsi="Times New Roman" w:eastAsia="Times New Roman"/>
          <w:b/>
          <w:i w:val="0"/>
          <w:sz w:val="26"/>
        </w:rPr>
        <w:t>Підсумок структури</w:t>
      </w:r>
      <w:r>
        <w:rPr>
          <w:rFonts w:ascii="Times New Roman" w:hAnsi="Times New Roman" w:eastAsia="Times New Roman"/>
          <w:b w:val="0"/>
          <w:i w:val="0"/>
          <w:sz w:val="26"/>
        </w:rPr>
        <w:t>: 4 рівні — проєкт, 8 субпроєктів, 20 блоків робіт, 42 робочі пакети. Детальні рисунки йдуть далі по субпроєктах.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5. </w:t>
      </w:r>
      <w:r>
        <w:rPr>
          <w:rFonts w:ascii="Times New Roman" w:hAnsi="Times New Roman" w:eastAsia="Times New Roman"/>
          <w:b/>
          <w:i w:val="0"/>
          <w:sz w:val="26"/>
        </w:rPr>
        <w:t>Стадії ГОСТ 34.601-90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покриті: формування вимог і ТЗ (1.2), проєктування й розроблення (1.3–1.7), введення в дію (1.8).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3. Підводні камені та типові питання викладача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Чому продуктовий принцип, а не за етапами життєвого циклу?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Бо результат проєкту — це підсистеми, і відповідальність зручно розподіляти за ними. Етапи ЖЦ все одно відображені: обстеження, розроблення, впровадження — окремими субпроєктами.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WBS має містити весь обсяг робіт. Де тестування?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Тестування — в 1.8.1 «Випробування» (попередні, комплексні, дослідна експлуатація) і в контролі якості 1.1.2.2. Окремого «тестування» без продукту за продуктовим принципом не виділяю.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Як отримали бюджет 29 330 тис. грн?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Зворотними обчисленнями — етап 6 розробки WBS: вартість робочих пакетів агрегується знизу вгору до субпроєктів і проєкту.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4. Що відповісти, якщо придереться</w:t>
      </w:r>
    </w:p>
    <w:p>
      <w:pPr>
        <w:spacing w:before="0" w:after="60" w:line="269" w:lineRule="auto"/>
        <w:ind w:left="340" w:hanging="283"/>
      </w:pPr>
      <w:r>
        <w:rPr>
          <w:rFonts w:ascii="Times New Roman" w:hAnsi="Times New Roman" w:eastAsia="Times New Roman"/>
          <w:b w:val="0"/>
          <w:i w:val="0"/>
          <w:color w:val="1F3864"/>
          <w:sz w:val="26"/>
        </w:rPr>
        <w:t xml:space="preserve">▸ </w:t>
      </w:r>
      <w:r>
        <w:rPr>
          <w:rFonts w:ascii="Times New Roman" w:hAnsi="Times New Roman" w:eastAsia="Times New Roman"/>
          <w:b w:val="0"/>
          <w:i w:val="0"/>
          <w:sz w:val="26"/>
        </w:rPr>
        <w:t>Рівні 1–2 винесено окремо, а кожен субпроєкт деталізовано на своєму рисунку — інакше 67 елементів на одній сторінці не прочитати.</w:t>
      </w:r>
    </w:p>
    <w:p>
      <w:pPr>
        <w:spacing w:before="0" w:after="60" w:line="269" w:lineRule="auto"/>
        <w:ind w:left="340" w:hanging="283"/>
      </w:pPr>
      <w:r>
        <w:rPr>
          <w:rFonts w:ascii="Times New Roman" w:hAnsi="Times New Roman" w:eastAsia="Times New Roman"/>
          <w:b w:val="0"/>
          <w:i w:val="0"/>
          <w:color w:val="1F3864"/>
          <w:sz w:val="26"/>
        </w:rPr>
        <w:t xml:space="preserve">▸ </w:t>
      </w:r>
      <w:r>
        <w:rPr>
          <w:rFonts w:ascii="Times New Roman" w:hAnsi="Times New Roman" w:eastAsia="Times New Roman"/>
          <w:b w:val="0"/>
          <w:i w:val="0"/>
          <w:sz w:val="26"/>
        </w:rPr>
        <w:t>Якщо спитають, де зроблено схему: джерело — текстовий опис Mermaid (lab1/diagrams/*.mmd), з якого рисунок у звіті будується автоматично з контролем читабельності; файл draw.io отримано з того самого опису й розміщення, тому вони однакові. У draw.io можу наживо пересунути чи перейменувати вузол.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