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WBS: субпроєкти 1.1 «Управління проєктом» і 1.2 «Обстеження та формування вимог»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(Work Breakdown Structure), продуктовий принцип, рівні 2–4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1.5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draw.io/10_WBS_1.1_1.2.drawio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Управлінські та передпроєктні роботи: план, ризики, якість, обстеження і ТЗ.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Тут два наскрізні субпроєкти: управління проєктом і обстеження з формуванням вимог. Вони не дають програмного продукту, але без них неможливо його створити.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1.1 Управління проєктом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1.1.1 «Планування та контроль» (1.1.1.1 план проєкту та WBS, 1.1.1.2 моніторинг виконання і звітність) і 1.1.2 «Управління ризиками та якістю» (1.1.2.1 реєстр ризиків і план реагування, 1.1.2.2 контроль якості й приймання).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1.2 Обстеження та формування вимог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1.2.1 «Обстеження об’єкта автоматизації» (1.2.1.1 обстеження діяльності центру і сенсорної мережі, 1.2.1.2 моделювання процесів «як є» і «як має бути») та 1.2.2 «Технічне завдання та концепція» (1.2.2.1 ТЗ за ГОСТ 34.602-89, 1.2.2.2 концепція архітектури та вимоги безпеки).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Коди.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Ієрархічне кодування 1.x / 1.x.x / 1.x.x.x — етап 5 розробки WBS «Формування системи кодування»: за кодом одразу видно, якому субпроєкту належить пакет.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Моніторинг проєкту — 240 днів. Хіба робочий пакет може бути таким довгим?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«рівномірна» робота протягом усього проєкту, її не можна розбити за результатами; так само контроль якості (1.1.2.2, 200 днів). Обидва наскрізні пакети обумовлено в таблиці етапів WBS.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1.2.1.2 «Моделювання процесів» — це і є наші ЛР2–ЛР4?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Так, саме BPMN, IDEF0, DFD у проєкті виконуються в межах цього пакета.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ТЗ за ГОСТ 34.602-89, а не за ДСТУ?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весь проєкт я веду за комплексом ГОСТ 34 на автоматизовані системи — за ГОСТ 34.601-90 визначено стадії, а ГОСТ 34.602-89 задає склад і зміст ТЗ саме на АС; на ці стандарти спирається і посібник Ременяк, рекомендований до курсу.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Робочий пакет деталізовано до рівня, який можна оцінити за тривалістю й вартістю та доручити одному відповідальному (4–60 робочих днів; наскрізні 1.1.1.2 і 1.1.2.2 — увесь проєкт) — це етап 1 «Визначення ступеня деталізації».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