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2 · Моделювання бізнес-процесів у нотації BPMN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Пул P3 «Виконання місії перехоплення» (частина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BPMN 2.0, паралельний шлюз (розгалуження і синхронізація)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Рисунок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рис. 2.5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draw.io/05_Пул_P3_Виконання_місії_ч1.drawio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 з 8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Прийняття завдання розрахунком і паралельна підготовка до пуску.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Пул P3 — робота розрахунку перехоплювачів. У першій частині розрахунок вирішує, чи прийняти завдання, і паралельно готує маршрут і техніку. Доріжки — командир, оператор і технік розрахунку.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Старт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повідомлення «Бойове завдання» з пулу P2.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Командир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«Оцінити можливість виконання» і шлюз «Приймається?».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«ні»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→ завершальна подія-повідомлення з відповіддю «Відмова» до P2.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«так»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→ проміжна подія надсилання повідомлення «Підтвердження прийняття» до P2 — саме його чекає шлюз, керований подіями, у P2.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Паралельний шлюз «+»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розгалуження: оператор «Підготувати маршрут і канал керування» і технік (ручне завдання) «Виконати передпольотний контроль» одночасно.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Другий паралельний шлюз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синхронізує: далі тільки після обох гілок; подія-посилання «Б» веде до частини 2.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Навіщо другий паралельний шлюз? Не можна просто з’єднати дві стрілки в наступне завдання?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Без синхронізуючого шлюзу наступне завдання запустилося б двічі — по разу від кожної гілки. Паралельний шлюз на злитті чекає завершення всіх вхідних гілок.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передпольотний контроль — ручне завдання?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його фізично виконує технік без інформаційної системи — огляд, АКБ, кріплення. Ручне завдання в BPMN означає саме таку роботу.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Відмова — завершальна подія-повідомлення. Чому не завдання відправлення?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після відмови процес закінчується: результат процесу і є повідомлення. Завершальна подія-повідомлення поєднує обидва факти.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Те саме розгалуження J2/J3 є і в IDEF3 (ЛР3) — моделі узгоджені.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модель збережена у стандартному форматі BPMN 2.0 XML (lab2/diagrams/*.bpmn, з координатами DI) і візуалізована bpmn-js (bpmn.io); файл draw.io побудовано з того самого .bpmn штатними BPMN-фігурами draw.io. Файл .bpmn відкривається в Camunda Modeler — можу показати.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