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Звіти DFD: Arrow Report, Data Usage Report, Model Consistency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Потоки даних із джерелом і приймачем; використання сховищ; перевірка правил DFD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4.8–4.11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що діаграми DFD перевірено звітами, як у AllFusion Process Modeler.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4.8 і 4.9 — усі потоки діаграм A4 і A5: назва, джерело, приймач, напрям; двонапрямлені потоки — «↔», міжсторінкове посилання зв’язує A4 з A5.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4.10 — Data Usage Report: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які процеси записують і читають кожне сховище D1–D4; напр., D3 «Реєстр техніки» — A51 записує й читає стан техніки.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4.11 — Model Consistency Report: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3 процеси на діаграмі, немає потоків «сховище — сховище» і «сутність — сутність», кожне сховище має вхід і вихід, імена унікальні.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потік між A51 і D3 двонапрямлений?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Процес і читає поточний стан техніки, і записує новий — «команда — відповідь» з одним сховищем.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міжсторінкове посилання?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Потік «Інформація про списаний перехоплювач» іде з діаграми A4 на A5, тож його оформлено посиланням.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потоків «сховище — сховище» не може бути?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Дані між сховищами переносить лише процес — інакше незрозуміло, хто їх перетворює.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Для двонапрямленого потоку процес указано в Data Usage Report двічі — і серед тих, хто записує, і серед тих, хто читає сховище.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