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4 · Моделювання DFD і вартісний аналіз (ABC)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DFD A5 «Забезпечити готовність ресурсів» з міжсторінковим посиланням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DFD (Gane — Sarson), міжсторінкове посилання (Off-Page Reference)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4.2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draw.io/02_DFD_А5.drawio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Показує дані обліку техніки і запасів та приймає посилання з діаграми A4.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Діаграма A5 описує дані після місії: післяпольотний контроль, облік запасів і заявки на поповнення. Головне, що треба показати, — міжсторінкове посилання з діаграми A4.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Зовнішня сутність «Розрахунок перехоплювачів»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передає «Повернена техніка, дані про витрату» в </w:t>
      </w:r>
      <w:r>
        <w:rPr>
          <w:rFonts w:ascii="Times New Roman" w:hAnsi="Times New Roman" w:eastAsia="Times New Roman"/>
          <w:b/>
          <w:i w:val="0"/>
          <w:sz w:val="26"/>
        </w:rPr>
        <w:t>A51 «Провести післяпольотний контроль»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A51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читає й оновлює </w:t>
      </w:r>
      <w:r>
        <w:rPr>
          <w:rFonts w:ascii="Times New Roman" w:hAnsi="Times New Roman" w:eastAsia="Times New Roman"/>
          <w:b/>
          <w:i w:val="0"/>
          <w:sz w:val="26"/>
        </w:rPr>
        <w:t>D3 «Реєстр техніки»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двонапрямленим потоком «Стан техніки» і видає «Результати контролю» в A52.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Згори від межі з позначкою A4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надходить «Інформація про списаний перехоплювач» у </w:t>
      </w:r>
      <w:r>
        <w:rPr>
          <w:rFonts w:ascii="Times New Roman" w:hAnsi="Times New Roman" w:eastAsia="Times New Roman"/>
          <w:b/>
          <w:i w:val="0"/>
          <w:sz w:val="26"/>
        </w:rPr>
        <w:t>A52 «Оновити облік запасів і готовності»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друга половина міжсторінкового посилання.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A52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працює з </w:t>
      </w:r>
      <w:r>
        <w:rPr>
          <w:rFonts w:ascii="Times New Roman" w:hAnsi="Times New Roman" w:eastAsia="Times New Roman"/>
          <w:b/>
          <w:i w:val="0"/>
          <w:sz w:val="26"/>
        </w:rPr>
        <w:t>D4 «Облік запасів»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(«Залишки запасів», ↔), надсилає «Дані про готовність» </w:t>
      </w:r>
      <w:r>
        <w:rPr>
          <w:rFonts w:ascii="Times New Roman" w:hAnsi="Times New Roman" w:eastAsia="Times New Roman"/>
          <w:b/>
          <w:i w:val="0"/>
          <w:sz w:val="26"/>
        </w:rPr>
        <w:t>командному пункту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і «Сигнал про низький запас» в A53.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A53 «Сформувати заявку на поповнення»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читає «Норми запасів» з D4 і обмінюється «Заявка / поставка» з </w:t>
      </w:r>
      <w:r>
        <w:rPr>
          <w:rFonts w:ascii="Times New Roman" w:hAnsi="Times New Roman" w:eastAsia="Times New Roman"/>
          <w:b/>
          <w:i w:val="0"/>
          <w:sz w:val="26"/>
        </w:rPr>
        <w:t>постачальником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технічно зроблено міжсторінкове посилання?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На A4 потік виходить до межі з міткою A5, на A5 — входить від межі з міткою A4; у Model Properties встановлено Off-Page Reference label — Node number. На батьківській А0 відповідні стрілки тунельовано.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командний пункт — зовнішня сутність? Він же частина центру.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Для цієї діаграми він зовнішній: межа DFD — функція A5, а КП лише споживає «Дані про готовність». Це той самий зворотний зв’язок A5 → A2 з діаграми А0.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станеться, якщо D4 недоступне?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A52 і A53 не зможуть працювати — тому облік запасів у ЛР7 зберігається в БД з резервуванням ядра (гаряче резервування у двох ЦОД).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Двонапрямлені потоки до сховищ означають читання й оновлення — це компактніше, ніж дві зустрічні стрілки, і AllFusion так і позначає.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описана як дані (lab4/model4.py, на основі моделі ЛР3) і відмальована в стилі AllFusion Process Modeler; файл draw.io згенерований з того самого рисунка, тож розташування і підписи збігаються. У draw.io можу пересунути процес — потоки приклеєні до блоків.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