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А0 з відображенням вартості робіт (ABC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 + функціонально-вартісний аналіз ABC (Activity Based Costing)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4.3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draw.io/03_А0_ABC.drawio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 сама А0, але в кожному блоці показано вартість роботи — результат вартісного аналізу.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діаграма А0 з ЛР3, на якій увімкнено опцію ABC Data: у лівому нижньому куті кожного блоку — вартість роботи, розрахована за центрами витрат.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Розрахунковий період — одна доба бойового чергування: 40 виявлених цілей, 25 призначень, 22 місії.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Одиниці виміру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 ABC Units: грн і години.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Чотири центри витрат</w:t>
      </w:r>
      <w:r>
        <w:rPr>
          <w:rFonts w:ascii="Times New Roman" w:hAnsi="Times New Roman" w:eastAsia="Times New Roman"/>
          <w:b w:val="0"/>
          <w:i w:val="0"/>
          <w:sz w:val="26"/>
        </w:rPr>
        <w:t>: «Оплата праці», «Експлуатація ІС та обладнання», «Перехоплювачі та АКБ», «Управління».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Вартість задано для робіт нижнього рівня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на одне виконання, з тривалістю і частотою. Наприклад, A11 виконується 6 разів на ціль — в середньому шість виявлень від різних сенсорів.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Вартість декомпонованих робіт рахується автоматично</w:t>
      </w:r>
      <w:r>
        <w:rPr>
          <w:rFonts w:ascii="Times New Roman" w:hAnsi="Times New Roman" w:eastAsia="Times New Roman"/>
          <w:b w:val="0"/>
          <w:i w:val="0"/>
          <w:sz w:val="26"/>
        </w:rPr>
        <w:t>: A1 = 6 × 2 + 3 + 20 + 10 = 45,00 грн на ціль; A2 = 2 + 1,2 × 23 + 25 + 1,1 × 2 = 56,80 грн на призначення.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A0 за добу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40 × 45 + 25 × 56,80 + 22 × 70 750 + 22 × 220 + 9 300 = </w:t>
      </w:r>
      <w:r>
        <w:rPr>
          <w:rFonts w:ascii="Times New Roman" w:hAnsi="Times New Roman" w:eastAsia="Times New Roman"/>
          <w:b/>
          <w:i w:val="0"/>
          <w:sz w:val="26"/>
        </w:rPr>
        <w:t>1 573 860 грн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Висновок з Activity Cost Report</w:t>
      </w:r>
      <w:r>
        <w:rPr>
          <w:rFonts w:ascii="Times New Roman" w:hAnsi="Times New Roman" w:eastAsia="Times New Roman"/>
          <w:b w:val="0"/>
          <w:i w:val="0"/>
          <w:sz w:val="26"/>
        </w:rPr>
        <w:t>: 98 % вартості — центр «Перехоплювачі та АКБ», робота A3 дає 98,9 %, а інформаційні функції A1–A2 — менше 0,2 %.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рахується вартість батьківської роботи?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Як сума вартостей дочірніх робіт, помножених на їхні частоти: C = Σ Cᵢ · Fᵢ. Тому для A1 і A2 я задав лише частоту на А0, а вартість зібралась з A11–A14 і A21–A24.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частота A22 — 1,2, а не ціле число?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Частота в ABC — середня кількість виконань на одне виконання батьківської роботи. 1,2 означає, що в частині випадків черговий відмовляє в санкціонуванні і розрахунок обирають повторно (зворотний зв’язок A23 → A22). Так само 1,1 у A24 — повторна передача завдання резервному розрахунку.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Який практичний висновок з аналізу?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Економічний ефект дає не здешевлення обробки даних, а точніше призначення: кожен зайвий пуск коштує ≈ 70 тис. грн, а вся інформаційна частина — менше 0,2 % витрат.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ціни?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умовні навчальні оцінки, порядок величин узгоджений: перехоплювач — десятки тисяч гривень, операція обробки даних — гривні.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Вартість у блоках округлено до копійок, як показує AllFusion; повні цифри — у таблиці Activity Cost Report.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UDP і Diagram Object Report зроблено для тих самих робіт А0 — значення властивостей у таблицях звіту.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описана як дані (lab4/model4.py, на основі моделі ЛР3) і відмальована в стилі AllFusion Process Modeler; файл draw.io згенерований з того самого рисунка, тож розташування і підписи збігаються. У draw.io можу пересунути процес — потоки приклеєні до блоків.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