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9" w:lineRule="auto"/>
      </w:pPr>
      <w:r>
        <w:rPr>
          <w:rFonts w:ascii="Times New Roman" w:hAnsi="Times New Roman" w:eastAsia="Times New Roman"/>
          <w:b w:val="0"/>
          <w:i/>
          <w:color w:val="595959"/>
          <w:sz w:val="21"/>
        </w:rPr>
        <w:t>СУФЛЕР ДО ЗАХИСТУ · ЛР 5 · Об’єктно-орієнтоване моделювання UML</w:t>
      </w:r>
    </w:p>
    <w:p>
      <w:pPr>
        <w:spacing w:before="0" w:after="120" w:line="269" w:lineRule="auto"/>
      </w:pPr>
      <w:r>
        <w:rPr>
          <w:rFonts w:ascii="Times New Roman" w:hAnsi="Times New Roman" w:eastAsia="Times New Roman"/>
          <w:b/>
          <w:i w:val="0"/>
          <w:sz w:val="34"/>
        </w:rPr>
        <w:t>Таблиці UML-моделі: склад, актори, специфікація прецедента, відношення, призначення діаграм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Дисципліна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Проєктування інформаційних систем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Тема відповіді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Склад моделі; актори; специфікація прецедента; відношення класів; групи діаграм UML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Що показати у звіті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Табл. 5.1–5.5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Звіт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ЛР5_Кравченко_ІР-31.docx (у папці роботи)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Порядок показу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1 з 1</w:t>
            </w:r>
          </w:p>
        </w:tc>
      </w:tr>
      <w:tr>
        <w:tc>
          <w:tcPr>
            <w:tcW w:type="dxa" w:w="2381"/>
            <w:shd w:val="clear" w:color="auto" w:fill="E8EEF7"/>
          </w:tcPr>
          <w:p>
            <w:r/>
            <w:r>
              <w:rPr>
                <w:rFonts w:ascii="Times New Roman" w:hAnsi="Times New Roman" w:eastAsia="Times New Roman"/>
                <w:b/>
                <w:i w:val="0"/>
                <w:sz w:val="23"/>
              </w:rPr>
              <w:t>Роль у роботі</w:t>
            </w:r>
          </w:p>
        </w:tc>
        <w:tc>
          <w:tcPr>
            <w:tcW w:type="dxa" w:w="7257"/>
          </w:tcPr>
          <w:p>
            <w:r/>
            <w:r>
              <w:rPr>
                <w:rFonts w:ascii="Times New Roman" w:hAnsi="Times New Roman" w:eastAsia="Times New Roman"/>
                <w:b w:val="0"/>
                <w:i w:val="0"/>
                <w:sz w:val="23"/>
              </w:rPr>
              <w:t>Показати, як діаграми складаються в одну модель і що означає кожне відношення.</w:t>
            </w:r>
          </w:p>
        </w:tc>
      </w:tr>
    </w:tbl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1. З чого почати відповідь</w:t>
      </w:r>
    </w:p>
    <w:p>
      <w:pPr>
        <w:spacing w:before="0" w:after="80" w:line="269" w:lineRule="auto"/>
        <w:ind w:left="227"/>
      </w:pPr>
      <w:r>
        <w:rPr>
          <w:rFonts w:ascii="Times New Roman" w:hAnsi="Times New Roman" w:eastAsia="Times New Roman"/>
          <w:b w:val="0"/>
          <w:i w:val="0"/>
          <w:sz w:val="27"/>
        </w:rPr>
        <w:t>Табл. 5.1 — склад моделі: варіанти використання (рис. 5.1, 5.2), діяльність (рис. 5.3, 5.4), послідовність (рис. 5.5), класи (рис. 5.6, 5.7).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2. Покрокова відповідь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1. </w:t>
      </w:r>
      <w:r>
        <w:rPr>
          <w:rFonts w:ascii="Times New Roman" w:hAnsi="Times New Roman" w:eastAsia="Times New Roman"/>
          <w:b/>
          <w:i w:val="0"/>
          <w:sz w:val="26"/>
        </w:rPr>
        <w:t>Табл. 5.2 — актори: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абстрактний «Персонал КП», аналітик, оперативний черговий, офіцер бойового управління, командир розрахунку, оператор, сенсорний вузол як актор-система, технік і логіст.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2. </w:t>
      </w:r>
      <w:r>
        <w:rPr>
          <w:rFonts w:ascii="Times New Roman" w:hAnsi="Times New Roman" w:eastAsia="Times New Roman"/>
          <w:b/>
          <w:i w:val="0"/>
          <w:sz w:val="26"/>
        </w:rPr>
        <w:t>Табл. 5.3 — специфікація «Призначити розрахунок»: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основний актор, передумови, основний і альтернативні потоки (напр., конфлікт — система блокує призначення), постумови.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3. </w:t>
      </w:r>
      <w:r>
        <w:rPr>
          <w:rFonts w:ascii="Times New Roman" w:hAnsi="Times New Roman" w:eastAsia="Times New Roman"/>
          <w:b/>
          <w:i w:val="0"/>
          <w:sz w:val="26"/>
        </w:rPr>
        <w:t>Табл. 5.4 — відношення класів: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асоціація з кратністю (розрахунок 1 — * місія), агрегація (трек ◇— виявлення), композиція (місія ◆— подія), узагальнення, залежність.</w:t>
      </w:r>
    </w:p>
    <w:p>
      <w:pPr>
        <w:spacing w:before="0" w:after="80" w:line="269" w:lineRule="auto"/>
        <w:ind w:left="510" w:hanging="510"/>
      </w:pPr>
      <w:r>
        <w:rPr>
          <w:rFonts w:ascii="Times New Roman" w:hAnsi="Times New Roman" w:eastAsia="Times New Roman"/>
          <w:b/>
          <w:i w:val="0"/>
          <w:color w:val="1F3864"/>
          <w:sz w:val="26"/>
        </w:rPr>
        <w:t xml:space="preserve">4. </w:t>
      </w:r>
      <w:r>
        <w:rPr>
          <w:rFonts w:ascii="Times New Roman" w:hAnsi="Times New Roman" w:eastAsia="Times New Roman"/>
          <w:b/>
          <w:i w:val="0"/>
          <w:sz w:val="26"/>
        </w:rPr>
        <w:t>Табл. 5.5 — призначення діаграм:</w:t>
      </w:r>
      <w:r>
        <w:rPr>
          <w:rFonts w:ascii="Times New Roman" w:hAnsi="Times New Roman" w:eastAsia="Times New Roman"/>
          <w:b w:val="0"/>
          <w:i w:val="0"/>
          <w:sz w:val="26"/>
        </w:rPr>
        <w:t xml:space="preserve"> група кожної діаграми і як її використано в проєкті (ТЗ, API, схема БД).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3. Підводні камені та типові питання викладача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Чим агрегація відрізняється від композиції?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При агрегації частина живе окремо (виявлення лишається після видалення треку), при композиції — знищується разом із цілим (події місії).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Чому сенсорний вузол — актор?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Актор — будь-яка зовнішня сутність, що взаємодіє із системою; тут це машинна взаємодія M2M.</w:t>
      </w:r>
    </w:p>
    <w:p>
      <w:pPr>
        <w:keepNext/>
        <w:spacing w:before="80" w:after="20" w:line="269" w:lineRule="auto"/>
      </w:pPr>
      <w:r>
        <w:rPr>
          <w:rFonts w:ascii="Times New Roman" w:hAnsi="Times New Roman" w:eastAsia="Times New Roman"/>
          <w:b/>
          <w:i w:val="0"/>
          <w:color w:val="C00000"/>
          <w:sz w:val="26"/>
        </w:rPr>
        <w:t xml:space="preserve">Питання: </w:t>
      </w:r>
      <w:r>
        <w:rPr>
          <w:rFonts w:ascii="Times New Roman" w:hAnsi="Times New Roman" w:eastAsia="Times New Roman"/>
          <w:b/>
          <w:i w:val="0"/>
          <w:sz w:val="26"/>
        </w:rPr>
        <w:t>До якої групи належить діаграма послідовності?</w:t>
      </w:r>
    </w:p>
    <w:p>
      <w:pPr>
        <w:spacing w:before="0" w:after="80" w:line="269" w:lineRule="auto"/>
        <w:ind w:left="340"/>
      </w:pPr>
      <w:r>
        <w:rPr>
          <w:rFonts w:ascii="Times New Roman" w:hAnsi="Times New Roman" w:eastAsia="Times New Roman"/>
          <w:b/>
          <w:i w:val="0"/>
          <w:color w:val="1F6F3C"/>
          <w:sz w:val="26"/>
        </w:rPr>
        <w:t xml:space="preserve">Відповідь: </w:t>
      </w:r>
      <w:r>
        <w:rPr>
          <w:rFonts w:ascii="Times New Roman" w:hAnsi="Times New Roman" w:eastAsia="Times New Roman"/>
          <w:b w:val="0"/>
          <w:i w:val="0"/>
          <w:sz w:val="26"/>
        </w:rPr>
        <w:t>До діаграм поведінки; разом із діаграмою кооперації вона описує взаємодію об’єктів.</w:t>
      </w:r>
    </w:p>
    <w:p>
      <w:pPr>
        <w:keepNext/>
        <w:spacing w:before="200" w:after="80" w:line="269" w:lineRule="auto"/>
        <w:pBdr>
          <w:bottom w:val="single" w:sz="6" w:space="1" w:color="1F3864"/>
        </w:pBdr>
      </w:pPr>
      <w:r>
        <w:rPr>
          <w:rFonts w:ascii="Times New Roman" w:hAnsi="Times New Roman" w:eastAsia="Times New Roman"/>
          <w:b/>
          <w:i w:val="0"/>
          <w:color w:val="1F3864"/>
          <w:sz w:val="28"/>
        </w:rPr>
        <w:t>4. Що відповісти, якщо придереться</w:t>
      </w:r>
    </w:p>
    <w:p>
      <w:pPr>
        <w:spacing w:before="0" w:after="60" w:line="269" w:lineRule="auto"/>
        <w:ind w:left="340" w:hanging="283"/>
      </w:pPr>
      <w:r>
        <w:rPr>
          <w:rFonts w:ascii="Times New Roman" w:hAnsi="Times New Roman" w:eastAsia="Times New Roman"/>
          <w:b w:val="0"/>
          <w:i w:val="0"/>
          <w:color w:val="1F3864"/>
          <w:sz w:val="26"/>
        </w:rPr>
        <w:t xml:space="preserve">▸ </w:t>
      </w:r>
      <w:r>
        <w:rPr>
          <w:rFonts w:ascii="Times New Roman" w:hAnsi="Times New Roman" w:eastAsia="Times New Roman"/>
          <w:b w:val="0"/>
          <w:i w:val="0"/>
          <w:sz w:val="26"/>
        </w:rPr>
        <w:t>Класифікацію діаграм подано за лекцією «Моделювання UML» і посібником О. В. Ізмайлової.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