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5: Об’єктно-орієнтоване моделювання UML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ЛР5_Кравченко_ІР-31.docx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draw.io/*.drawio у папці роботи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ЛР5 — об’єктно-орієнтована модель платформи «Щит-Лінк» в UML: прецеденти, діяльність, послідовність і класи.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Склад моделі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5.1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Спершу визначив, які діаграми й для чого будую, — це табл. 5.1.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Актори й прецеденти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5.2; рис. 5.1–5.2 (draw.io 01, 02)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Виділив акторів-людей і акторів-систем, прецеденти поділив на дві діаграми: бойове управління і забезпечення з адмініструванням, щоб обидві були читабельними.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Специфікація прецедента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5.3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ключового прецедента «Призначити розрахунок» написав специфікацію: передумови, основний і альтернативні потоки.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Діаграми діяльності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5.3–5.4 (03, 04)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Процес перехоплення з доріжками-виконавцями: перша частина — до дозволу на пуск, друга — виконання місії з fork/join для паралельної підготовки.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Діаграма послідовності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5.5 (05)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 «Призначити розрахунок»: лінії життя, повідомлення згори вниз, стереотипи межа / управління / сутність.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Діаграми класів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5.6–5.7 (06, 07); табл. 5.4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Два фрагменти: ситуаційна обізнаність і місії з ресурсами. У другому навмисно є всі основні відношення: узагальнення, залежність, композиція, асоціація з кратністю, агрегація.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Аналіз призначення діаграм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5.5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Наприкінці звів, яку задачу проєктування вирішує кожна діаграма.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діаграми взаємно узгоджені — прецедент деталізовано діяльністю й послідовністю, а об’єкти з послідовності є класами на діаграмі класів.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