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варіантів використання: бойове управління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варіантів використання (Use Case Diagram)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draw.io/01_Варіанти_використання_бойове_управління.drawio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Концептуальна модель функціональних вимог: хто і для чого використовує платформу в бойовому циклі.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Ця діаграма показує, хто працює з платформою «Щит-Лінк» під час бойового управління і які функції отримує. Ліворуч — актори-люди, праворуч — актор-система «Сенсорний вузол», усередині рамки системи — 12 прецедентів.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Прецеденти я поділив на дві діаграми — бойове управління і забезпечення, — щоб кожна залишалась читабельною.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актор «Персонал КП»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узагальнення аналітика обстановки, оперативного чергового та офіцера бойового управління (стрілки узагальнення з порожнім трикутником). Йому один раз призначено спільний прецедент «Переглянути повітряну обстановку».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Аналітик обстановки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«Класифікувати ціль». 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«Підтвердити ціль» і «Санкціонувати пуск». 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«Призначити розрахунок».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«include»</w:t>
      </w:r>
      <w:r>
        <w:rPr>
          <w:rFonts w:ascii="Times New Roman" w:hAnsi="Times New Roman" w:eastAsia="Times New Roman"/>
          <w:b w:val="0"/>
          <w:i w:val="0"/>
          <w:sz w:val="26"/>
        </w:rPr>
        <w:t>: «Призначити розрахунок» завжди включає «Перевірити деконфлікцію» — без перевірки призначення неможливе.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«extend»</w:t>
      </w:r>
      <w:r>
        <w:rPr>
          <w:rFonts w:ascii="Times New Roman" w:hAnsi="Times New Roman" w:eastAsia="Times New Roman"/>
          <w:b w:val="0"/>
          <w:i w:val="0"/>
          <w:sz w:val="26"/>
        </w:rPr>
        <w:t>: «Обрати резервний розрахунок» розширює «Призначити розрахунок» лише за умови — немає підтвердження за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Командир розрахунку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«Прийняти бойове завдання» і «Доповісти про результат». </w:t>
      </w:r>
      <w:r>
        <w:rPr>
          <w:rFonts w:ascii="Times New Roman" w:hAnsi="Times New Roman" w:eastAsia="Times New Roman"/>
          <w:b/>
          <w:i w:val="0"/>
          <w:sz w:val="26"/>
        </w:rPr>
        <w:t>Оператор перехоплювача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«Супроводжувати місію», яку за умови розширює «Скасувати місію» («extend»).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Сенсорний вузол «система»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праворуч — «Передати виявлення»: машинна взаємодія M2M, характерна для IoT.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«include» відрізняється від «extend»? І куди дивиться стрілка?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«include» — обов’язкове включення: стрілка від базового прецедента до включеного (Призначити → Перевірити деконфлікцію). «extend» — умовне розширення: стрілка від розширення до базового (Обрати резервний → Призначити).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сенсор може бути актором? Актор — це ж людина.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за лекцією 6 актор — це роль, і акторами можуть бути інші програмні системи. Сенсорний вузол — зовнішня система, позначена стереотипом «система».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абстрактний актор «Персонал КП»?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Щоб не дублювати асоціацію «Переглянути повітряну обстановку» для трьох ролей. Нащадки успадковують усі прецеденти предка — це узагальнення акторів.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адміністратор і технік?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другій діаграмі — забезпечення та адміністрування. Розділення за підсистемами дозволене і робить схему читабельною.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Ролі акторів збігаються з доріжками BPMN (ЛР2) і механізмами IDEF0 (ЛР3) — модель наскрізна.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діаграма описана як дані (lab5/model5.py) і відмальована за нотацією UML; файл draw.io отримано з того самого рисунка, тож розташування збігається. Можу наживо пересунути прецедент чи актора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