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A119ED9">
      <w:pPr>
        <w:pBdr/>
        <w:spacing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МІНІСТЕРСТВО ОСВІТИ I НАУКИ УКРАЇНИ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324A9C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КИЇВСЬКИЙ НАЦІОНАЛЬНИЙ УНІВЕРСИТЕТ ІМЕНІ ТАРАСА ШЕВЧЕНКА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0A397E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ФАКУЛЬТЕТ ІНФОРМАЦІЙНИХ ТЕХНОЛОГІЙ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AA494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КАФЕДРА ІНФОРМАЦІЙНИХ СИСТЕМ ТА ТЕХНОЛОГІЙ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2FFBB8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/>
        <w:t xml:space="preserve">  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D8A9E5B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Практична робота № </w:t>
      </w:r>
      <w:r>
        <w:rPr>
          <w:rFonts w:ascii="Times New Roman" w:hAnsi="Times New Roman" w:cs="Times New Roman"/>
          <w:b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9E07F4D"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 дисципліни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Технології створення програмних продуктів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»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B905C1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C1C88FC">
      <w:pPr>
        <w:pBdr/>
        <w:spacing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Тема: «</w:t>
      </w:r>
      <w:r>
        <w:rPr>
          <w:rFonts w:ascii="Times New Roman" w:hAnsi="Times New Roman" w:eastAsia="Times New Roman" w:cs="Times New Roman"/>
          <w:sz w:val="28"/>
          <w:szCs w:val="28"/>
        </w:rPr>
        <w:t>Збір та документування вимог для програмного продукту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 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F222511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8929217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CB31CD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 Виконав: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B43C91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       студент гр. ІР-31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84BA6D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Петро Кравченко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FC4C0C2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 Перевірив: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BA42AA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        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Зараховано від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259EC8F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Кравченко Ольга Віталіївна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778369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___________________________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37E8A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(підпис викладача)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6CAD3CA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286A18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Київ-2026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sectPr>
          <w:footerReference w:type="first" r:id="rId10"/>
          <w:footerReference w:type="default" r:id="rId11"/>
          <w:headerReference w:type="first" r:id="rId12"/>
          <w:headerReference w:type="default" r:id="rId13"/>
          <w:footnotePr/>
          <w:endnotePr/>
          <w:type w:val="nextPage"/>
          <w:pgSz w:h="16838" w:orient="portrait" w:w="11906"/>
          <w:pgMar w:top="1134" w:right="850" w:bottom="1134" w:left="1701" w:header="709" w:footer="709" w:gutter="0"/>
          <w:cols w:num="1" w:sep="0" w:space="708" w:equalWidth="1"/>
          <w:titlePg/>
        </w:sectPr>
      </w:pPr>
    </w:p>
    <w:p>
      <w:pPr>
        <w:keepNext w:val="0"/>
        <w:widowControl/>
        <w:spacing w:line="360" w:lineRule="auto" w:before="0" w:after="24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ЗМІСТ</w:t>
      </w:r>
    </w:p>
    <w:p>
      <w:pPr>
        <w:pStyle w:val="874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TOC \o "1-3" \h \z \u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000001" w:history="1">
        <w:r>
          <w:rPr>
            <w:rFonts w:ascii="Times New Roman" w:hAnsi="Times New Roman" w:cs="Times New Roman"/>
            <w:sz w:val="28"/>
            <w:szCs w:val="28"/>
          </w:rPr>
          <w:t xml:space="preserve">1. МЕТА ТА ЗАВДАННЯ РОБОТИ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_Toc000001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4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4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02" w:history="1">
        <w:r>
          <w:rPr>
            <w:rFonts w:ascii="Times New Roman" w:hAnsi="Times New Roman" w:cs="Times New Roman"/>
            <w:sz w:val="28"/>
            <w:szCs w:val="28"/>
          </w:rPr>
          <w:t xml:space="preserve">2. ТЕОРЕТИЧНІ ВІДОМОСТІ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_Toc000002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5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3" w:history="1">
        <w:r>
          <w:rPr>
            <w:rFonts w:ascii="Times New Roman" w:hAnsi="Times New Roman" w:cs="Times New Roman"/>
            <w:sz w:val="28"/>
            <w:szCs w:val="28"/>
          </w:rPr>
          <w:t xml:space="preserve">2.1. Життєвий цикл програмного продукту та його моделі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_Toc000003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5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4" w:history="1">
        <w:r>
          <w:rPr>
            <w:rFonts w:ascii="Times New Roman" w:hAnsi="Times New Roman" w:cs="Times New Roman"/>
            <w:sz w:val="28"/>
            <w:szCs w:val="28"/>
          </w:rPr>
          <w:t xml:space="preserve">2.2. Вимоги до програмного забезпечення: збір, аналіз, управління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_Toc000004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5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5" w:history="1">
        <w:r>
          <w:rPr>
            <w:rFonts w:ascii="Times New Roman" w:hAnsi="Times New Roman" w:cs="Times New Roman"/>
            <w:sz w:val="28"/>
            <w:szCs w:val="28"/>
          </w:rPr>
          <w:t xml:space="preserve">2.3. Специфікація системних вимог (SRS)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_Toc000005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7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6" w:history="1">
        <w:r>
          <w:rPr>
            <w:rFonts w:ascii="Times New Roman" w:hAnsi="Times New Roman" w:cs="Times New Roman"/>
            <w:sz w:val="28"/>
            <w:szCs w:val="28"/>
          </w:rPr>
          <w:t xml:space="preserve">2.4. Діаграма варіантів використання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_Toc000006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7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4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07" w:history="1">
        <w:r>
          <w:rPr>
            <w:rFonts w:ascii="Times New Roman" w:hAnsi="Times New Roman" w:cs="Times New Roman"/>
            <w:sz w:val="28"/>
            <w:szCs w:val="28"/>
          </w:rPr>
          <w:t xml:space="preserve">3. ВИБІР ТЕМИ ТА КОНЦЕПЦІЯ ПРОГРАМНОГО ПРОДУКТУ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_Toc000007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9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8" w:history="1">
        <w:r>
          <w:rPr>
            <w:rFonts w:ascii="Times New Roman" w:hAnsi="Times New Roman" w:cs="Times New Roman"/>
            <w:sz w:val="28"/>
            <w:szCs w:val="28"/>
          </w:rPr>
          <w:t xml:space="preserve">3.1. Тема і призначення програмного продукту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_Toc000008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9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9" w:history="1">
        <w:r>
          <w:rPr>
            <w:rFonts w:ascii="Times New Roman" w:hAnsi="Times New Roman" w:cs="Times New Roman"/>
            <w:sz w:val="28"/>
            <w:szCs w:val="28"/>
          </w:rPr>
          <w:t xml:space="preserve">3.2. Об’єкт автоматизації та користувачі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_Toc000009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9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10" w:history="1">
        <w:r>
          <w:rPr>
            <w:rFonts w:ascii="Times New Roman" w:hAnsi="Times New Roman" w:cs="Times New Roman"/>
            <w:sz w:val="28"/>
            <w:szCs w:val="28"/>
          </w:rPr>
          <w:t xml:space="preserve">3.3. Вибір моделі життєвого циклу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_Toc000010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10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11" w:history="1">
        <w:r>
          <w:rPr>
            <w:rFonts w:ascii="Times New Roman" w:hAnsi="Times New Roman" w:cs="Times New Roman"/>
            <w:sz w:val="28"/>
            <w:szCs w:val="28"/>
          </w:rPr>
          <w:t xml:space="preserve">3.4. Попередня структура бази даних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_Toc000011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11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4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12" w:history="1">
        <w:r>
          <w:rPr>
            <w:rFonts w:ascii="Times New Roman" w:hAnsi="Times New Roman" w:cs="Times New Roman"/>
            <w:sz w:val="28"/>
            <w:szCs w:val="28"/>
          </w:rPr>
          <w:t xml:space="preserve">4. ЗБІР І АНАЛІЗ ВИМОГ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_Toc000012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15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13" w:history="1">
        <w:r>
          <w:rPr>
            <w:rFonts w:ascii="Times New Roman" w:hAnsi="Times New Roman" w:cs="Times New Roman"/>
            <w:sz w:val="28"/>
            <w:szCs w:val="28"/>
          </w:rPr>
          <w:t xml:space="preserve">4.1. Зацікавлені сторони та методи збору вимог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_Toc000013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15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14" w:history="1">
        <w:r>
          <w:rPr>
            <w:rFonts w:ascii="Times New Roman" w:hAnsi="Times New Roman" w:cs="Times New Roman"/>
            <w:sz w:val="28"/>
            <w:szCs w:val="28"/>
          </w:rPr>
          <w:t xml:space="preserve">4.2. Функціональні вимоги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_Toc000014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16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15" w:history="1">
        <w:r>
          <w:rPr>
            <w:rFonts w:ascii="Times New Roman" w:hAnsi="Times New Roman" w:cs="Times New Roman"/>
            <w:sz w:val="28"/>
            <w:szCs w:val="28"/>
          </w:rPr>
          <w:t xml:space="preserve">4.3. Нефункціональні вимоги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_Toc000015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18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16" w:history="1">
        <w:r>
          <w:rPr>
            <w:rFonts w:ascii="Times New Roman" w:hAnsi="Times New Roman" w:cs="Times New Roman"/>
            <w:sz w:val="28"/>
            <w:szCs w:val="28"/>
          </w:rPr>
          <w:t xml:space="preserve">4.4. Аналіз вимог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_Toc000016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20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17" w:history="1">
        <w:r>
          <w:rPr>
            <w:rFonts w:ascii="Times New Roman" w:hAnsi="Times New Roman" w:cs="Times New Roman"/>
            <w:sz w:val="28"/>
            <w:szCs w:val="28"/>
          </w:rPr>
          <w:t xml:space="preserve">4.5. Діаграма варіантів використання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_Toc000017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21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18" w:history="1">
        <w:r>
          <w:rPr>
            <w:rFonts w:ascii="Times New Roman" w:hAnsi="Times New Roman" w:cs="Times New Roman"/>
            <w:sz w:val="28"/>
            <w:szCs w:val="28"/>
          </w:rPr>
          <w:t xml:space="preserve">4.6. Специфікації основних варіантів використання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_Toc000018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27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4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19" w:history="1">
        <w:r>
          <w:rPr>
            <w:rFonts w:ascii="Times New Roman" w:hAnsi="Times New Roman" w:cs="Times New Roman"/>
            <w:sz w:val="28"/>
            <w:szCs w:val="28"/>
          </w:rPr>
          <w:t xml:space="preserve">5. СПЕЦИФІКАЦІЯ СИСТЕМНИХ ВИМОГ IOT-ПЛАТФОРМИ «ЩИТ-ЛІНК»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_Toc000019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/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20" w:history="1">
        <w:r>
          <w:rPr>
            <w:rFonts w:ascii="Times New Roman" w:hAnsi="Times New Roman" w:cs="Times New Roman"/>
            <w:sz w:val="28"/>
            <w:szCs w:val="28"/>
          </w:rPr>
          <w:t xml:space="preserve">5.1. Вступ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_Toc000020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30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21" w:history="1">
        <w:r>
          <w:rPr>
            <w:rFonts w:ascii="Times New Roman" w:hAnsi="Times New Roman" w:cs="Times New Roman"/>
            <w:sz w:val="28"/>
            <w:szCs w:val="28"/>
          </w:rPr>
          <w:t xml:space="preserve">5.2. Драйвери бізнесу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_Toc000021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31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22" w:history="1">
        <w:r>
          <w:rPr>
            <w:rFonts w:ascii="Times New Roman" w:hAnsi="Times New Roman" w:cs="Times New Roman"/>
            <w:sz w:val="28"/>
            <w:szCs w:val="28"/>
          </w:rPr>
          <w:t xml:space="preserve">5.3. Бізнес-модель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_Toc000022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32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23" w:history="1">
        <w:r>
          <w:rPr>
            <w:rFonts w:ascii="Times New Roman" w:hAnsi="Times New Roman" w:cs="Times New Roman"/>
            <w:sz w:val="28"/>
            <w:szCs w:val="28"/>
          </w:rPr>
          <w:t xml:space="preserve">5.4. Функціональні та системні вимоги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_Toc000023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34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24" w:history="1">
        <w:r>
          <w:rPr>
            <w:rFonts w:ascii="Times New Roman" w:hAnsi="Times New Roman" w:cs="Times New Roman"/>
            <w:sz w:val="28"/>
            <w:szCs w:val="28"/>
          </w:rPr>
          <w:t xml:space="preserve">5.5. Випадки використання системи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_Toc000024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36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25" w:history="1">
        <w:r>
          <w:rPr>
            <w:rFonts w:ascii="Times New Roman" w:hAnsi="Times New Roman" w:cs="Times New Roman"/>
            <w:sz w:val="28"/>
            <w:szCs w:val="28"/>
          </w:rPr>
          <w:t xml:space="preserve">5.6. Технічні вимоги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_Toc000025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36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26" w:history="1">
        <w:r>
          <w:rPr>
            <w:rFonts w:ascii="Times New Roman" w:hAnsi="Times New Roman" w:cs="Times New Roman"/>
            <w:sz w:val="28"/>
            <w:szCs w:val="28"/>
          </w:rPr>
          <w:t xml:space="preserve">5.7. Системні якості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_Toc000026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37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27" w:history="1">
        <w:r>
          <w:rPr>
            <w:rFonts w:ascii="Times New Roman" w:hAnsi="Times New Roman" w:cs="Times New Roman"/>
            <w:sz w:val="28"/>
            <w:szCs w:val="28"/>
          </w:rPr>
          <w:t xml:space="preserve">5.8. Обмеження та припущення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_Toc000027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38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28" w:history="1">
        <w:r>
          <w:rPr>
            <w:rFonts w:ascii="Times New Roman" w:hAnsi="Times New Roman" w:cs="Times New Roman"/>
            <w:sz w:val="28"/>
            <w:szCs w:val="28"/>
          </w:rPr>
          <w:t xml:space="preserve">5.9. Критерії прийняття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_Toc000028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39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29" w:history="1">
        <w:r>
          <w:rPr>
            <w:rFonts w:ascii="Times New Roman" w:hAnsi="Times New Roman" w:cs="Times New Roman"/>
            <w:sz w:val="28"/>
            <w:szCs w:val="28"/>
          </w:rPr>
          <w:t xml:space="preserve">5.10. Додатки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_Toc000029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39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4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30" w:history="1">
        <w:r>
          <w:rPr>
            <w:rFonts w:ascii="Times New Roman" w:hAnsi="Times New Roman" w:cs="Times New Roman"/>
            <w:sz w:val="28"/>
            <w:szCs w:val="28"/>
          </w:rPr>
          <w:t xml:space="preserve">ВИСНОВКИ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_Toc000030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40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4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31" w:history="1">
        <w:r>
          <w:rPr>
            <w:rFonts w:ascii="Times New Roman" w:hAnsi="Times New Roman" w:cs="Times New Roman"/>
            <w:sz w:val="28"/>
            <w:szCs w:val="28"/>
          </w:rPr>
          <w:t xml:space="preserve">СПИСОК ВИКОРИСТАНИХ ДЖЕРЕЛ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_Toc000031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41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  <w:r>
        <w:rPr>
          <w:rFonts w:ascii="Times New Roman" w:hAnsi="Times New Roman" w:cs="Times New Roman"/>
          <w:sz w:val="28"/>
          <w:szCs w:val="28"/>
        </w:rPr>
        <w:fldChar w:fldCharType="end"/>
      </w: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1" w:name="_Toc000001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 МЕТА ТА ЗАВДАННЯ РОБОТИ</w:t>
      </w:r>
      <w:bookmarkEnd w:id="1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Мета роботи: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вивчити методи збору вимог від замовників і кінцевих користувачів, навчитися класифікувати, аналізувати та документувати функціональні й нефункціональні вимоги, побудувати діаграму варіантів використання (Use Case Diagram) і скласти специфікацію системних вимог (SRS) для власного програмного продукту з використанням інтернету речей.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Завдання роботи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[1]: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1) обрати власну тему для створення програмного продукту з використанням інтернету речей (окремий додаток, мобільний застосунок або веб-орієнтована система) з дружнім інтерфейсом і базою даних не менш ніж із 5–6 зв’язаних наповнених таблиць — розділ 3;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2) зібрати функціональні та нефункціональні вимоги, створити діаграму варіантів використання — розділ 4;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3) описати специфікацію системних вимог із використанням теоретичного матеріалу — розділ 5;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4) створити звіт і сформулювати висновки до роботи — цей звіт, розділ «Висновки».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Тема програмного продукту: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«Розподілена IoT-система цілевказівки та координації дронів для перехоплення повітряних цілей». Програмний продукт — IoT-платформа «Щит-Лінк» для регіонального центру протидронової оборони РЦПДО «Щит-Північ».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Примітка: РЦПДО «Щит-Північ» і IoT-платформа «Щит-Лінк» є навчальними умовними моделями; усі назви, процеси та показники наведено суто з навчально-ілюстративною метою.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Предмет моделювання обмежено рівнем інформаційної системи: які дані збираються, хто і які рішення ухвалює, які функції та якості повинна мати програмна система. Алгоритми керування польотом і засоби ураження не розглядаються; рішення на застосування завжди ухвалює людина.</w:t>
      </w: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2" w:name="_Toc000002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 ТЕОРЕТИЧНІ ВІДОМОСТІ</w:t>
      </w:r>
      <w:bookmarkEnd w:id="2"/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3" w:name="_Toc000003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2.1. Життєвий цикл програмного продукту та його моделі</w:t>
      </w:r>
      <w:bookmarkEnd w:id="3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Життєвий цикл програмного продукту (Software Development Life Cycle, SDLC) — процес, що охоплює всі етапи розроблення програмного забезпечення від початкового планування до підтримки після релізу [2]. Лекційний матеріал виділяє сім етапів: планування, аналіз вимог, проєктування системи, реалізацію (кодування), тестування, впровадження та підтримку [2]. Саме на етапі аналізу вимог визначають функціональні та нефункціональні вимоги — тобто те, які задачі повинна виконувати система.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Модель життєвого циклу визначає підхід до розроблення: порядок етапів, наявність ітерацій і способи контролю. Розглядають шість основних моделей [2; 3]: каскадну (Waterfall) — послідовне проходження етапів, придатну за чітких і стабільних вимог; спіральну — ітерації, кожна з яких починається з аналізу ризиків і планування; V-модель — розширення каскадної з паралельним плануванням тестування для кожного етапу; Agile — ітеративно-інкрементний підхід із гнучким реагуванням на зміни; інкрементну модель — поступове нарощування функцій, що дозволяє впроваджувати продукт частинами; DevOps — поєднання розроблення та експлуатації з безперервною інтеграцією (CI), безперервним розгортанням, тестуванням і моніторингом.</w:t>
      </w: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4" w:name="_Toc000004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2.2. Вимоги до програмного забезпечення: збір, аналіз, управління</w:t>
      </w:r>
      <w:bookmarkEnd w:id="4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Вимога — умова або можливість, яку визначив користувач для розв’язання проблеми чи досягнення мети і якій повинна відповідати система або її компонент [4]. Розрізняють бізнес-вимоги, вимоги користувачів, функціональні вимоги (що повинна робити система) і нефункціональні вимоги (як добре вона повинна це робити: продуктивність, надійність, безпека, зручність тощо) [4; 5]. Приклад функціональної вимоги з лекції: «Користувач повинен мати змогу увійти в систему за допомогою ідентифікатора та пароля» [5].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Робота з вимогами складається з послідовних, але взаємопов’язаних кроків (рис. 1.1) [5].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Збір вимог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спирається на джерела (клієнти, бізнес-аналітики, технічні фахівці) і методи: інтерв’ю, опитування, наради, спостереження.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Аналіз вимог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оцінює їх коректність, повноту та узгодженість, визначає пріоритети, виявляє конфлікти й дублювання; за посібником [4] він також встановлює межі (scope) проєкту і деталізує системні вимоги до програмних.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Управління вимогами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забезпечує контроль змін, версійність і відстеження за допомогою інструментів Jira, Trello, IBM Rational DOORS [5]. Типові проблеми — неповні або нечіткі вимоги, зміни після початку розроблення та брак комунікації між командами [5].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4680000" cy="57277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q_proce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727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1.1 — Процес роботи з вимогами до програмного забезпечення</w:t>
      </w: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5" w:name="_Toc000005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2.3. Специфікація системних вимог (SRS)</w:t>
      </w:r>
      <w:bookmarkEnd w:id="5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Специфікація вимог до програмного забезпечення (Software Requirements Specification, SRS) — документ, що визначає функції, продуктивність і обмеження системи та слугує контрактом між замовником і розробником [1]. Посібник [4] розрізняє специфікацію вимог користувачів (концепцію), специфікацію системних вимог, що описує систему в контексті системної інженерії (програмні й апаратні компоненти, персонал), і специфікацію програмних вимог. На відміну від специфікації бізнес-вимог (BRS), яку готує бізнес-аналітик на дуже високому рівні, SRS походить від BRS, описує і функціональні, і технічні характеристики та містить таблиці й випадки використання [1].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Добре написана SRS вирівнює очікування зацікавлених сторін, є основою планування, зменшує ризики (розповзання обсягу, прогалини у функціях), слугує планом для проєктування, полегшує тестування, покращує комунікацію команд, забезпечує дотримання норм і спрощує супровід [1]. Структура SRS, якої дотримано в розділі 5, містить десять розділів: вступ (мета, сфера застосування, визначення, посилання, огляд); драйвери бізнесу; бізнес-модель; функціональні та системні вимоги; випадки використання системи; технічні вимоги; системні якості; обмеження та припущення; критерії прийняття; додатки [1]. Кожна вимога повинна бути однозначно ідентифікована для відстеження [1].</w:t>
      </w: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6" w:name="_Toc000006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2.4. Діаграма варіантів використання</w:t>
      </w:r>
      <w:bookmarkEnd w:id="6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Діаграма прецедентів (варіантів використання, use case diagram) — узагальнена модель функціонування системи в навколишньому середовищі [6]. У технології RUP вона є основним засобом визначення функцій системи на етапі «Визначення вимог» [6]. Актор — роль користувача або зовнішньої системи; прецедент (еліпс) — послідовність дій, що дає акторові значущий результат. Властивості прецедента [6]: він описує, ЩО потрібно робити, а не ЯК; описує дії з погляду виконавця; повертає виконавцю деяке повідомлення; послідовність дій усередині прецедента є одним неподільним ланцюгом.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Між прецедентами використовують відношення включення «include» (базовий прецедент завжди виконує включений) і розширення «extend» (додаткова поведінка за певної умови), між акторами — узагальнення. Текстову специфікацію прецедента, за прикладом опису діаграм [7], складають із короткого опису, основного потоку подій, альтернативних потоків, передумов і постумов.</w:t>
      </w: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7" w:name="_Toc000007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 ВИБІР ТЕМИ ТА КОНЦЕПЦІЯ ПРОГРАМНОГО ПРОДУКТУ</w:t>
      </w:r>
      <w:bookmarkEnd w:id="7"/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8" w:name="_Toc000008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3.1. Тема і призначення програмного продукту</w:t>
      </w:r>
      <w:bookmarkEnd w:id="8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Обрано тему «Розподілена IoT-система цілевказівки та координації дронів для перехоплення повітряних цілей». Програмний продукт — IoT-платформа «Щит-Лінк», розподілена інформаційно-управляюча система реального часу, що збирає дані від мережі сенсорних вузлів (акустичних датчиків, малогабаритних РЛС, оптико-електронних постів) і телеметрію дронів-перехоплювачів, формує єдину повітряну обстановку та координує розрахунки перехоплювачів: передає їм цілевказання, фіксує санкціонування, хід і результат кожної місії.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Продукт поєднує всі три форми реалізації, передбачені завданням [1]: веб-орієнтовану систему (автоматизовані робочі місця (АРМ) командного пункту, аналітики, логістики та адміністрування), мобільний застосунок (планшет командира розрахунку) та окремий додаток периферійного шлюзу на позиції. Використання інтернету речей полягає в машинній взаємодії (M2M) сенсорів, шлюзів і наземних станцій управління з ядром платформи за протоколами MQTT 5, ASTERIX і MAVLink 2. Дружній інтерфейс забезпечують карта обстановки з умовними знаками APP-6, нічна тема та підтвердження ключових дій однією-двома діями (вимога NFR-10).</w:t>
      </w: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9" w:name="_Toc000009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3.2. Об’єкт автоматизації та користувачі</w:t>
      </w:r>
      <w:bookmarkEnd w:id="9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Об’єкт автоматизації — діяльність умовного РЦПДО «Щит-Північ» з виявлення, супроводу й перехоплення повітряних цілей у зоні відповідальності (3 райони області, 14 об’єктів критичної інфраструктури, 120 акустичних сенсорів, 4 РЛС, 12 оптико-електронних постів, 18 розрахунків на 9 позиціях, близько 160 осіб особового складу). Наразі виявлення надходять різними каналами, цілевказання передають голосом, облік готовності та звітність ведуть вручну — ці проблеми детально розглянуто в підрозділі 5.2. Користувачами системи є 11 людських ролей і 3 зовнішні системи-актори (табл. 1.8).</w:t>
      </w: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10" w:name="_Toc000010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3.3. Вибір моделі життєвого циклу</w:t>
      </w:r>
      <w:bookmarkEnd w:id="10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Модель життєвого циклу обрано порівнянням шести моделей лекції [2] за критеріями, суттєвими для проєкту: стабільність вимог, критичність помилок (рішення впливають на безпеку людей), потреба в ранньому отриманні корисних функцій, інтенсивність змін під час експлуатації та обсяг документації (табл. 1.1).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1.1 — Порівняння моделей життєвого циклу для IoT-платформи «Щит-Лінк»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Модель</w:t>
            </w:r>
          </w:p>
        </w:tc>
        <w:tc>
          <w:tcPr>
            <w:tcW w:type="dxa" w:w="30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Переваги для проєкту</w:t>
            </w:r>
          </w:p>
        </w:tc>
        <w:tc>
          <w:tcPr>
            <w:tcW w:type="dxa" w:w="30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Обмеження для проєкту</w:t>
            </w:r>
          </w:p>
        </w:tc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Висновок</w:t>
            </w:r>
          </w:p>
        </w:tc>
      </w:tr>
      <w:tr>
        <w:trPr>
          <w:cantSplit w:val="true"/>
        </w:trPr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Каскадна</w:t>
            </w:r>
          </w:p>
        </w:tc>
        <w:tc>
          <w:tcPr>
            <w:tcW w:type="dxa" w:w="30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Чіткий порядок, повна документація</w:t>
            </w:r>
          </w:p>
        </w:tc>
        <w:tc>
          <w:tcPr>
            <w:tcW w:type="dxa" w:w="30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Вимоги до тактики й інтеграцій змінюються; продукт з’являється лише наприкінці</w:t>
            </w:r>
          </w:p>
        </w:tc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 підходить у чистому вигляді</w:t>
            </w:r>
          </w:p>
        </w:tc>
      </w:tr>
      <w:tr>
        <w:trPr>
          <w:cantSplit w:val="true"/>
        </w:trPr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Спіральна</w:t>
            </w:r>
          </w:p>
        </w:tc>
        <w:tc>
          <w:tcPr>
            <w:tcW w:type="dxa" w:w="30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Явний аналіз ризиків на кожному витку</w:t>
            </w:r>
          </w:p>
        </w:tc>
        <w:tc>
          <w:tcPr>
            <w:tcW w:type="dxa" w:w="30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Висока вартість і тривалість витків, потреба в експертах з ризиків</w:t>
            </w:r>
          </w:p>
        </w:tc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Аналіз ризиків запозичено</w:t>
            </w:r>
          </w:p>
        </w:tc>
      </w:tr>
      <w:tr>
        <w:trPr>
          <w:cantSplit w:val="true"/>
        </w:trPr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V-модель</w:t>
            </w:r>
          </w:p>
        </w:tc>
        <w:tc>
          <w:tcPr>
            <w:tcW w:type="dxa" w:w="30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Кожному рівню вимог відповідає рівень тестування — важливо для критичних функцій</w:t>
            </w:r>
          </w:p>
        </w:tc>
        <w:tc>
          <w:tcPr>
            <w:tcW w:type="dxa" w:w="30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Послідовна, слабо реагує на зміни</w:t>
            </w:r>
          </w:p>
        </w:tc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Застосовується всередині інкременту</w:t>
            </w:r>
          </w:p>
        </w:tc>
      </w:tr>
      <w:tr>
        <w:trPr>
          <w:cantSplit w:val="true"/>
        </w:trPr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Agile</w:t>
            </w:r>
          </w:p>
        </w:tc>
        <w:tc>
          <w:tcPr>
            <w:tcW w:type="dxa" w:w="30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Гнучкість, тісна співпраця з користувачами</w:t>
            </w:r>
          </w:p>
        </w:tc>
        <w:tc>
          <w:tcPr>
            <w:tcW w:type="dxa" w:w="30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Недостатня формалізація для функцій безпеки та атестації КСЗІ</w:t>
            </w:r>
          </w:p>
        </w:tc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Практики спринтів — для інтерфейсів</w:t>
            </w:r>
          </w:p>
        </w:tc>
      </w:tr>
      <w:tr>
        <w:trPr>
          <w:cantSplit w:val="true"/>
        </w:trPr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Інкрементна</w:t>
            </w:r>
          </w:p>
        </w:tc>
        <w:tc>
          <w:tcPr>
            <w:tcW w:type="dxa" w:w="30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Ранній запуск ядра, поетапне нарощування функцій</w:t>
            </w:r>
          </w:p>
        </w:tc>
        <w:tc>
          <w:tcPr>
            <w:tcW w:type="dxa" w:w="304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Потрібна стабільна архітектура з першого інкременту</w:t>
            </w:r>
          </w:p>
        </w:tc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Базова модель</w:t>
            </w:r>
          </w:p>
        </w:tc>
      </w:tr>
      <w:tr>
        <w:trPr>
          <w:cantSplit w:val="true"/>
        </w:trPr>
        <w:tc>
          <w:tcPr>
            <w:tcW w:type="dxa" w:w="152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DevOps</w:t>
            </w:r>
          </w:p>
        </w:tc>
        <w:tc>
          <w:tcPr>
            <w:tcW w:type="dxa" w:w="304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CI/CD, моніторинг, швидкі оновлення на всіх вузлах</w:t>
            </w:r>
          </w:p>
        </w:tc>
        <w:tc>
          <w:tcPr>
            <w:tcW w:type="dxa" w:w="304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Потребує автоматизації інфраструктури та культури команди</w:t>
            </w:r>
          </w:p>
        </w:tc>
        <w:tc>
          <w:tcPr>
            <w:tcW w:type="dxa" w:w="175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Модель супроводу й випуску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Обрано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комбіновану модель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(рис. 1.2): спільні етапи планування, аналізу вимог і проєктування архітектури виконуються один раз, далі продукт створюється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інкрементами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а в межах кожного інкременту дотримується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V-модель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— кожному рівню вимог SRS відповідає рівень тестування (модульне, інтеграційне, системне, приймальне). Випуск і супровід організовано за моделлю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DevOps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: безперервна інтеграція і тестування, безперервне розгортання на ядро та периферійні шлюзи, постійний моніторинг; відгуки користувачів і запити на зміну повертаються на етап планування наступного інкременту. Такий підхід поєднує раннє отримання цінності (інкрементна модель і DevOps) із суворою перевірюваністю критичних функцій (V-модель): за порівнянням моделей у лекції інкрементна модель дозволяє впроваджувати продукт частинами, DevOps підходить для динамічних проєктів, а V-модель зосереджена на якості через тестування [2].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5940000" cy="38116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ifecyc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11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1.2 — Обрана модель життєвого циклу IoT-платформи «Щит-Лінк»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Розподіл функцій за інкрементами відповідає пріоритетам вимог (підрозділ 4.2): перший інкремент дає єдину повітряну обстановку, другий — повний цикл ухвалення рішення, третій — супровід місій і звітність, четвертий — облік ресурсів, аналітику та зовнішні інтеграції.</w:t>
      </w: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11" w:name="_Toc000011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3.4. Попередня структура бази даних</w:t>
      </w:r>
      <w:bookmarkEnd w:id="11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Завдання вимагає бази даних щонайменше з 5–6 зв’язаних наповнених таблиць [1]. Попередня концептуальна модель даних «Щит-Лінк» містить 11 таблиць, пов’язаних зовнішніми ключами (рис. 1.3, 1.4); для читабельності модель розділено на підсистему моніторингу повітряного простору та підсистему бойового управління, спільні сутності «Повітряний трек» і «Позиція» присутні на обох рисунках. Нотація — «сутність — зв’язок» із позначенням кратності «воронячою лапкою»: риска — «рівно один», коло — «нуль», розгалуження — «багато».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5940000" cy="35465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r_monitor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46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1.3 — Концептуальна модель даних: підсистема моніторингу повітряного простору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5144400" cy="81012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r_comba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4400" cy="8101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1.4 — Концептуальна модель даних: підсистема бойового управління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Призначення таблиць, ключові зв’язки та планований обсяг тестового наповнення наведено в табл. 1.2. Обсяги відповідають ресурсам умовного центру (підрозділ 3.2) і даним однієї доби інтенсивної роботи; телеметрію перехоплювачів зберігає окрема база даних часових рядів (TimescaleDB).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1.2 — Таблиці бази даних та плановане тестове наповнення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Таблиця</w:t>
            </w:r>
          </w:p>
        </w:tc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Призначення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Ключі та зв’язки</w:t>
            </w:r>
          </w:p>
        </w:tc>
        <w:tc>
          <w:tcPr>
            <w:tcW w:type="dxa" w:w="128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Записів</w:t>
            </w:r>
          </w:p>
        </w:tc>
      </w:tr>
      <w:tr>
        <w:trPr>
          <w:cantSplit w:val="true"/>
        </w:trPr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Сектор (sector)</w:t>
            </w:r>
          </w:p>
        </w:tc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Зони відповідальності, заборони ураження, коридори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PK код; тип зони</w:t>
            </w:r>
          </w:p>
        </w:tc>
        <w:tc>
          <w:tcPr>
            <w:tcW w:type="dxa" w:w="128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12</w:t>
            </w:r>
          </w:p>
        </w:tc>
      </w:tr>
      <w:tr>
        <w:trPr>
          <w:cantSplit w:val="true"/>
        </w:trPr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Сенсор (sensor)</w:t>
            </w:r>
          </w:p>
        </w:tc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Сенсорні вузли та їх стан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FK → Сектор</w:t>
            </w:r>
          </w:p>
        </w:tc>
        <w:tc>
          <w:tcPr>
            <w:tcW w:type="dxa" w:w="128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136</w:t>
            </w:r>
          </w:p>
        </w:tc>
      </w:tr>
      <w:tr>
        <w:trPr>
          <w:cantSplit w:val="true"/>
        </w:trPr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Виявлення (detection)</w:t>
            </w:r>
          </w:p>
        </w:tc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Первинні виявлення від сенсорів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FK → Сенсор, Повітряний трек</w:t>
            </w:r>
          </w:p>
        </w:tc>
        <w:tc>
          <w:tcPr>
            <w:tcW w:type="dxa" w:w="128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≈ 50 000</w:t>
            </w:r>
          </w:p>
        </w:tc>
      </w:tr>
      <w:tr>
        <w:trPr>
          <w:cantSplit w:val="true"/>
        </w:trPr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Повітряний трек (air_track)</w:t>
            </w:r>
          </w:p>
        </w:tc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Цілі: належність, оцінка загрози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PK код; номер треку</w:t>
            </w:r>
          </w:p>
        </w:tc>
        <w:tc>
          <w:tcPr>
            <w:tcW w:type="dxa" w:w="128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≈ 600</w:t>
            </w:r>
          </w:p>
        </w:tc>
      </w:tr>
      <w:tr>
        <w:trPr>
          <w:cantSplit w:val="true"/>
        </w:trPr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Позиція (position)</w:t>
            </w:r>
          </w:p>
        </w:tc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Вогневі позиції розрахунків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FK → Сектор</w:t>
            </w:r>
          </w:p>
        </w:tc>
        <w:tc>
          <w:tcPr>
            <w:tcW w:type="dxa" w:w="128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</w:t>
            </w:r>
          </w:p>
        </w:tc>
      </w:tr>
      <w:tr>
        <w:trPr>
          <w:cantSplit w:val="true"/>
        </w:trPr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Розрахунок (crew)</w:t>
            </w:r>
          </w:p>
        </w:tc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Розрахунки перехоплювачів і їх стан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FK → Позиція</w:t>
            </w:r>
          </w:p>
        </w:tc>
        <w:tc>
          <w:tcPr>
            <w:tcW w:type="dxa" w:w="128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18</w:t>
            </w:r>
          </w:p>
        </w:tc>
      </w:tr>
      <w:tr>
        <w:trPr>
          <w:cantSplit w:val="true"/>
        </w:trPr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Перехоплювач (interceptor)</w:t>
            </w:r>
          </w:p>
        </w:tc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Екземпляри дронів-перехоплювачів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FK → Позиція</w:t>
            </w:r>
          </w:p>
        </w:tc>
        <w:tc>
          <w:tcPr>
            <w:tcW w:type="dxa" w:w="128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300</w:t>
            </w:r>
          </w:p>
        </w:tc>
      </w:tr>
      <w:tr>
        <w:trPr>
          <w:cantSplit w:val="true"/>
        </w:trPr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Місія (mission)</w:t>
            </w:r>
          </w:p>
        </w:tc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Бойові завдання та їх життєвий цикл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FK → Трек, Розрахунок, Перехоплювач, Користувач</w:t>
            </w:r>
          </w:p>
        </w:tc>
        <w:tc>
          <w:tcPr>
            <w:tcW w:type="dxa" w:w="128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≈ 400</w:t>
            </w:r>
          </w:p>
        </w:tc>
      </w:tr>
      <w:tr>
        <w:trPr>
          <w:cantSplit w:val="true"/>
        </w:trPr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Звіт про перехоплення (engagement_report)</w:t>
            </w:r>
          </w:p>
        </w:tc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Оцінка результату місії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FK → Місія (1 : 0..1)</w:t>
            </w:r>
          </w:p>
        </w:tc>
        <w:tc>
          <w:tcPr>
            <w:tcW w:type="dxa" w:w="128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≈ 380</w:t>
            </w:r>
          </w:p>
        </w:tc>
      </w:tr>
      <w:tr>
        <w:trPr>
          <w:cantSplit w:val="true"/>
        </w:trPr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Користувач (personnel)</w:t>
            </w:r>
          </w:p>
        </w:tc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Особовий склад — користувачі системи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FK → Роль, Розрахунок</w:t>
            </w:r>
          </w:p>
        </w:tc>
        <w:tc>
          <w:tcPr>
            <w:tcW w:type="dxa" w:w="128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160</w:t>
            </w:r>
          </w:p>
        </w:tc>
      </w:tr>
      <w:tr>
        <w:trPr>
          <w:cantSplit w:val="true"/>
        </w:trPr>
        <w:tc>
          <w:tcPr>
            <w:tcW w:type="dxa" w:w="2456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Роль (role)</w:t>
            </w:r>
          </w:p>
        </w:tc>
        <w:tc>
          <w:tcPr>
            <w:tcW w:type="dxa" w:w="2923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Ролі RBAC</w:t>
            </w:r>
          </w:p>
        </w:tc>
        <w:tc>
          <w:tcPr>
            <w:tcW w:type="dxa" w:w="268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PK код; назва ролі</w:t>
            </w:r>
          </w:p>
        </w:tc>
        <w:tc>
          <w:tcPr>
            <w:tcW w:type="dxa" w:w="1286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13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Приклад наповнення центральної таблиці «Місія», що пов’язує трек, розрахунок, перехоплювач і користувача, який санкціонував пуск, наведено в табл. 1.3.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1.3 — Приклад наповнення таблиці «Місія»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  <w:cantSplit w:val="true"/>
        </w:trPr>
        <w:tc>
          <w:tcPr>
            <w:tcW w:type="dxa" w:w="14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Номер місії</w:t>
            </w:r>
          </w:p>
        </w:tc>
        <w:tc>
          <w:tcPr>
            <w:tcW w:type="dxa" w:w="116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Трек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Розрахунок (позиція)</w:t>
            </w:r>
          </w:p>
        </w:tc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Перехоплювач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Стан</w:t>
            </w:r>
          </w:p>
        </w:tc>
        <w:tc>
          <w:tcPr>
            <w:tcW w:type="dxa" w:w="14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Результат</w:t>
            </w:r>
          </w:p>
        </w:tc>
      </w:tr>
      <w:tr>
        <w:trPr>
          <w:cantSplit w:val="true"/>
        </w:trPr>
        <w:tc>
          <w:tcPr>
            <w:tcW w:type="dxa" w:w="14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М-0412-01</w:t>
            </w:r>
          </w:p>
        </w:tc>
        <w:tc>
          <w:tcPr>
            <w:tcW w:type="dxa" w:w="116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ЩП-0412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«Беркут-3» (П-02)</w:t>
            </w:r>
          </w:p>
        </w:tc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ПХ-01187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Санкціонована</w:t>
            </w:r>
          </w:p>
        </w:tc>
        <w:tc>
          <w:tcPr>
            <w:tcW w:type="dxa" w:w="14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4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М-0412-02</w:t>
            </w:r>
          </w:p>
        </w:tc>
        <w:tc>
          <w:tcPr>
            <w:tcW w:type="dxa" w:w="116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ЩП-0415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«Сокіл-1» (П-05)</w:t>
            </w:r>
          </w:p>
        </w:tc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ПХ-00954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Закрита</w:t>
            </w:r>
          </w:p>
        </w:tc>
        <w:tc>
          <w:tcPr>
            <w:tcW w:type="dxa" w:w="14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Влучання</w:t>
            </w:r>
          </w:p>
        </w:tc>
      </w:tr>
      <w:tr>
        <w:trPr>
          <w:cantSplit w:val="true"/>
        </w:trPr>
        <w:tc>
          <w:tcPr>
            <w:tcW w:type="dxa" w:w="14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М-0412-03</w:t>
            </w:r>
          </w:p>
        </w:tc>
        <w:tc>
          <w:tcPr>
            <w:tcW w:type="dxa" w:w="116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ЩП-0419</w:t>
            </w:r>
          </w:p>
        </w:tc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«Беркут-1» (П-02)</w:t>
            </w:r>
          </w:p>
        </w:tc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ПХ-01203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Скасована</w:t>
            </w:r>
          </w:p>
        </w:tc>
        <w:tc>
          <w:tcPr>
            <w:tcW w:type="dxa" w:w="14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Скасовано</w:t>
            </w:r>
          </w:p>
        </w:tc>
      </w:tr>
      <w:tr>
        <w:trPr>
          <w:cantSplit w:val="true"/>
        </w:trPr>
        <w:tc>
          <w:tcPr>
            <w:tcW w:type="dxa" w:w="146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М-0412-04</w:t>
            </w:r>
          </w:p>
        </w:tc>
        <w:tc>
          <w:tcPr>
            <w:tcW w:type="dxa" w:w="116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ЩП-0421</w:t>
            </w:r>
          </w:p>
        </w:tc>
        <w:tc>
          <w:tcPr>
            <w:tcW w:type="dxa" w:w="198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«Яструб-2» (П-07)</w:t>
            </w:r>
          </w:p>
        </w:tc>
        <w:tc>
          <w:tcPr>
            <w:tcW w:type="dxa" w:w="175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ПХ-01011</w:t>
            </w:r>
          </w:p>
        </w:tc>
        <w:tc>
          <w:tcPr>
            <w:tcW w:type="dxa" w:w="152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Закрита</w:t>
            </w:r>
          </w:p>
        </w:tc>
        <w:tc>
          <w:tcPr>
            <w:tcW w:type="dxa" w:w="146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Промах</w:t>
            </w:r>
          </w:p>
        </w:tc>
      </w:tr>
    </w:tbl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12" w:name="_Toc000012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 ЗБІР І АНАЛІЗ ВИМОГ</w:t>
      </w:r>
      <w:bookmarkEnd w:id="12"/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13" w:name="_Toc000013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4.1. Зацікавлені сторони та методи збору вимог</w:t>
      </w:r>
      <w:bookmarkEnd w:id="13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Збір вимог розпочато з визначення зацікавлених сторін і вибору для кожної з них методу збору з переліку лекції [5]: інтерв’ю, опитування, наради, спостереження; додатково застосовано аналіз документів (журналів обліку, специфікацій протоколів), що рекомендує посібник [4]. Результати наведено в табл. 1.4; коди ЗС-1…ЗС-8 використовуються далі як джерела вимог.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1.4 — Зацікавлені сторони та методи збору вимог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  <w:cantSplit w:val="true"/>
        </w:trPr>
        <w:tc>
          <w:tcPr>
            <w:tcW w:type="dxa" w:w="81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Код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Зацікавлена сторона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Представники</w:t>
            </w:r>
          </w:p>
        </w:tc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Метод збору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Ключові очікування</w:t>
            </w:r>
          </w:p>
        </w:tc>
      </w:tr>
      <w:tr>
        <w:trPr>
          <w:cantSplit w:val="true"/>
        </w:trPr>
        <w:tc>
          <w:tcPr>
            <w:tcW w:type="dxa" w:w="81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ЗС-1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Замовник — командування центру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Начальник центру (R-12), заступники</w:t>
            </w:r>
          </w:p>
        </w:tc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Інтерв’ю, наради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Скорочення циклу «виявлення — перехоплення», контроль ресурсу, звітність</w:t>
            </w:r>
          </w:p>
        </w:tc>
      </w:tr>
      <w:tr>
        <w:trPr>
          <w:cantSplit w:val="true"/>
        </w:trPr>
        <w:tc>
          <w:tcPr>
            <w:tcW w:type="dxa" w:w="81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ЗС-2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Персонал командного пункту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Оперативний черговий (R-01), офіцер бойового управління (R-02), аналітик обстановки (R-03)</w:t>
            </w:r>
          </w:p>
        </w:tc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Інтерв’ю, спостереження за роботою зміни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Єдина повітряна обстановка, швидке і безпомилкове призначення цілей</w:t>
            </w:r>
          </w:p>
        </w:tc>
      </w:tr>
      <w:tr>
        <w:trPr>
          <w:cantSplit w:val="true"/>
        </w:trPr>
        <w:tc>
          <w:tcPr>
            <w:tcW w:type="dxa" w:w="81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ЗС-3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Розрахунки перехоплювачів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Командир розрахунку (R-04), оператор (R-05)</w:t>
            </w:r>
          </w:p>
        </w:tc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Опитування (анкетування), спостереження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Цифрове завдання на планшеті замість голосового цілевказання</w:t>
            </w:r>
          </w:p>
        </w:tc>
      </w:tr>
      <w:tr>
        <w:trPr>
          <w:cantSplit w:val="true"/>
        </w:trPr>
        <w:tc>
          <w:tcPr>
            <w:tcW w:type="dxa" w:w="81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ЗС-4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Технічна служба і логістика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Технік (R-07), логіст (R-08)</w:t>
            </w:r>
          </w:p>
        </w:tc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Опитування, аналіз журналів обліку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Облік справності, ресурсу АКБ, запасів і заявок</w:t>
            </w:r>
          </w:p>
        </w:tc>
      </w:tr>
      <w:tr>
        <w:trPr>
          <w:cantSplit w:val="true"/>
        </w:trPr>
        <w:tc>
          <w:tcPr>
            <w:tcW w:type="dxa" w:w="81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ЗС-5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Відділ аналітики та звітності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Аналітик ефективності (R-09)</w:t>
            </w:r>
          </w:p>
        </w:tc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Інтерв’ю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Показники KPI, автоматичні звіти, відтворення місій</w:t>
            </w:r>
          </w:p>
        </w:tc>
      </w:tr>
      <w:tr>
        <w:trPr>
          <w:cantSplit w:val="true"/>
        </w:trPr>
        <w:tc>
          <w:tcPr>
            <w:tcW w:type="dxa" w:w="81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ЗС-6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Служба зв’язку та ІТ, кібербезпека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Адміністратор (R-10), офіцер кібербезпеки (R-11)</w:t>
            </w:r>
          </w:p>
        </w:tc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Технічні наради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Керованість, захищеність, повний аудит дій</w:t>
            </w:r>
          </w:p>
        </w:tc>
      </w:tr>
      <w:tr>
        <w:trPr>
          <w:cantSplit w:val="true"/>
        </w:trPr>
        <w:tc>
          <w:tcPr>
            <w:tcW w:type="dxa" w:w="81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ЗС-7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Зовнішні системи і суміжні органи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Повітряні сили ЗСУ, національна система ситуаційної обізнаності, система тривоги</w:t>
            </w:r>
          </w:p>
        </w:tc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Аналіз документації інтерфейсів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Сумісні протоколи обміну даними</w:t>
            </w:r>
          </w:p>
        </w:tc>
      </w:tr>
      <w:tr>
        <w:trPr>
          <w:cantSplit w:val="true"/>
        </w:trPr>
        <w:tc>
          <w:tcPr>
            <w:tcW w:type="dxa" w:w="81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ЗС-8</w:t>
            </w:r>
          </w:p>
        </w:tc>
        <w:tc>
          <w:tcPr>
            <w:tcW w:type="dxa" w:w="1871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Команда розробника</w:t>
            </w:r>
          </w:p>
        </w:tc>
        <w:tc>
          <w:tcPr>
            <w:tcW w:type="dxa" w:w="2456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Бізнес-аналітик, архітектор, тестувальник</w:t>
            </w:r>
          </w:p>
        </w:tc>
        <w:tc>
          <w:tcPr>
            <w:tcW w:type="dxa" w:w="175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Робочі наради</w:t>
            </w:r>
          </w:p>
        </w:tc>
        <w:tc>
          <w:tcPr>
            <w:tcW w:type="dxa" w:w="2456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Однозначні, перевірювані вимоги з трасуванням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Інтерв’ю з ключовими зацікавленими сторонами (приклад збору вимог з лекції [5]) проводилися за структурованим планом. Типові питання: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які дії під час відбиття атаки займають найбільше часу і де виникають помилки;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яку інформацію про ціль і розрахунок необхідно бачити для ухвалення рішення на пуск;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які рішення повинна ухвалювати лише людина, а які дії система може виконувати автоматично;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що відбувається при втраті зв’язку з позицією і як діє розрахунок у такому разі;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які звіти й показники потрібні командуванню та вищому органу управління і з якою періодичністю.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Спостереження за роботою зміни командного пункту та опитування розрахунків дозволили виявити неявні вимоги, які користувачі не називали в інтерв’ю: наприклад, необхідність нічної теми інтерфейсу та підтвердження завдання однією дією в рукавицях на планшеті.</w:t>
      </w: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14" w:name="_Toc000014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4.2. Функціональні вимоги</w:t>
      </w:r>
      <w:bookmarkEnd w:id="14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Зібрані функціональні вимоги наведено в табл. 1.5. Кожна вимога має унікальний код для відстеження [1], пріоритет, джерело та пов’язані варіанти використання. Пріоритети розподілено так: високий — 14, середній — 6, низький — 2 вимоги; вимоги високого пріоритету утворюють перші два інкременти (підрозділ 3.3).</w:t>
      </w:r>
    </w:p>
    <w:p>
      <w:pPr>
        <w:keepNext/>
        <w:pageBreakBefore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1.5 — Функціональні вимоги до IoT-платформи «Щит-Лінк»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  <w:cantSplit w:val="true"/>
        </w:trPr>
        <w:tc>
          <w:tcPr>
            <w:tcW w:type="dxa" w:w="9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Код</w:t>
            </w:r>
          </w:p>
        </w:tc>
        <w:tc>
          <w:tcPr>
            <w:tcW w:type="dxa" w:w="374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Система повинна…</w:t>
            </w:r>
          </w:p>
        </w:tc>
        <w:tc>
          <w:tcPr>
            <w:tcW w:type="dxa" w:w="14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Пріоритет</w:t>
            </w:r>
          </w:p>
        </w:tc>
        <w:tc>
          <w:tcPr>
            <w:tcW w:type="dxa" w:w="1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Джерело</w:t>
            </w:r>
          </w:p>
        </w:tc>
        <w:tc>
          <w:tcPr>
            <w:tcW w:type="dxa" w:w="181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Прецеденти</w:t>
            </w:r>
          </w:p>
        </w:tc>
      </w:tr>
      <w:tr>
        <w:trPr>
          <w:cantSplit w:val="true"/>
        </w:trPr>
        <w:tc>
          <w:tcPr>
            <w:tcW w:type="dxa" w:w="9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FR-01</w:t>
            </w:r>
          </w:p>
        </w:tc>
        <w:tc>
          <w:tcPr>
            <w:tcW w:type="dxa" w:w="374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реєструвати сенсорні вузли й периферійні шлюзи та контролювати їх стан</w:t>
            </w:r>
          </w:p>
        </w:tc>
        <w:tc>
          <w:tcPr>
            <w:tcW w:type="dxa" w:w="14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Високий</w:t>
            </w:r>
          </w:p>
        </w:tc>
        <w:tc>
          <w:tcPr>
            <w:tcW w:type="dxa" w:w="1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ЗС-4, ЗС-6</w:t>
            </w:r>
          </w:p>
        </w:tc>
        <w:tc>
          <w:tcPr>
            <w:tcW w:type="dxa" w:w="181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UC-13</w:t>
            </w:r>
          </w:p>
        </w:tc>
      </w:tr>
      <w:tr>
        <w:trPr>
          <w:cantSplit w:val="true"/>
        </w:trPr>
        <w:tc>
          <w:tcPr>
            <w:tcW w:type="dxa" w:w="9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FR-02</w:t>
            </w:r>
          </w:p>
        </w:tc>
        <w:tc>
          <w:tcPr>
            <w:tcW w:type="dxa" w:w="374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приймати й нормалізувати виявлення від різнотипних сенсорів і телеметрію перехоплювачів</w:t>
            </w:r>
          </w:p>
        </w:tc>
        <w:tc>
          <w:tcPr>
            <w:tcW w:type="dxa" w:w="14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Високий</w:t>
            </w:r>
          </w:p>
        </w:tc>
        <w:tc>
          <w:tcPr>
            <w:tcW w:type="dxa" w:w="1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ЗС-2, ЗС-7</w:t>
            </w:r>
          </w:p>
        </w:tc>
        <w:tc>
          <w:tcPr>
            <w:tcW w:type="dxa" w:w="181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UC-01</w:t>
            </w:r>
          </w:p>
        </w:tc>
      </w:tr>
      <w:tr>
        <w:trPr>
          <w:cantSplit w:val="true"/>
        </w:trPr>
        <w:tc>
          <w:tcPr>
            <w:tcW w:type="dxa" w:w="9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FR-03</w:t>
            </w:r>
          </w:p>
        </w:tc>
        <w:tc>
          <w:tcPr>
            <w:tcW w:type="dxa" w:w="374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забезпечувати автономну роботу периферійного шлюзу з буферизацією даних у разі втрати зв’язку з ядром</w:t>
            </w:r>
          </w:p>
        </w:tc>
        <w:tc>
          <w:tcPr>
            <w:tcW w:type="dxa" w:w="14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Високий</w:t>
            </w:r>
          </w:p>
        </w:tc>
        <w:tc>
          <w:tcPr>
            <w:tcW w:type="dxa" w:w="1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ЗС-3, ЗС-6</w:t>
            </w:r>
          </w:p>
        </w:tc>
        <w:tc>
          <w:tcPr>
            <w:tcW w:type="dxa" w:w="181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UC-01</w:t>
            </w:r>
          </w:p>
        </w:tc>
      </w:tr>
      <w:tr>
        <w:trPr>
          <w:cantSplit w:val="true"/>
        </w:trPr>
        <w:tc>
          <w:tcPr>
            <w:tcW w:type="dxa" w:w="9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FR-04</w:t>
            </w:r>
          </w:p>
        </w:tc>
        <w:tc>
          <w:tcPr>
            <w:tcW w:type="dxa" w:w="374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зводити виявлення в повітряні треки та відображати єдину повітряну обстановку на карті</w:t>
            </w:r>
          </w:p>
        </w:tc>
        <w:tc>
          <w:tcPr>
            <w:tcW w:type="dxa" w:w="14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Високий</w:t>
            </w:r>
          </w:p>
        </w:tc>
        <w:tc>
          <w:tcPr>
            <w:tcW w:type="dxa" w:w="1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ЗС-2</w:t>
            </w:r>
          </w:p>
        </w:tc>
        <w:tc>
          <w:tcPr>
            <w:tcW w:type="dxa" w:w="181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UC-02</w:t>
            </w:r>
          </w:p>
        </w:tc>
      </w:tr>
      <w:tr>
        <w:trPr>
          <w:cantSplit w:val="true"/>
        </w:trPr>
        <w:tc>
          <w:tcPr>
            <w:tcW w:type="dxa" w:w="9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FR-05</w:t>
            </w:r>
          </w:p>
        </w:tc>
        <w:tc>
          <w:tcPr>
            <w:tcW w:type="dxa" w:w="374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підтримувати класифікацію цілей: автоматична підказка та обов’язкове підтвердження аналітиком</w:t>
            </w:r>
          </w:p>
        </w:tc>
        <w:tc>
          <w:tcPr>
            <w:tcW w:type="dxa" w:w="14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Високий</w:t>
            </w:r>
          </w:p>
        </w:tc>
        <w:tc>
          <w:tcPr>
            <w:tcW w:type="dxa" w:w="1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ЗС-2</w:t>
            </w:r>
          </w:p>
        </w:tc>
        <w:tc>
          <w:tcPr>
            <w:tcW w:type="dxa" w:w="181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UC-03</w:t>
            </w:r>
          </w:p>
        </w:tc>
      </w:tr>
      <w:tr>
        <w:trPr>
          <w:cantSplit w:val="true"/>
        </w:trPr>
        <w:tc>
          <w:tcPr>
            <w:tcW w:type="dxa" w:w="9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FR-06</w:t>
            </w:r>
          </w:p>
        </w:tc>
        <w:tc>
          <w:tcPr>
            <w:tcW w:type="dxa" w:w="374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оцінювати загрозу та формувати чергу цілей за пріоритетом</w:t>
            </w:r>
          </w:p>
        </w:tc>
        <w:tc>
          <w:tcPr>
            <w:tcW w:type="dxa" w:w="14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Високий</w:t>
            </w:r>
          </w:p>
        </w:tc>
        <w:tc>
          <w:tcPr>
            <w:tcW w:type="dxa" w:w="1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ЗС-1, ЗС-2</w:t>
            </w:r>
          </w:p>
        </w:tc>
        <w:tc>
          <w:tcPr>
            <w:tcW w:type="dxa" w:w="181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UC-02, UC-03</w:t>
            </w:r>
          </w:p>
        </w:tc>
      </w:tr>
      <w:tr>
        <w:trPr>
          <w:cantSplit w:val="true"/>
        </w:trPr>
        <w:tc>
          <w:tcPr>
            <w:tcW w:type="dxa" w:w="9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FR-07</w:t>
            </w:r>
          </w:p>
        </w:tc>
        <w:tc>
          <w:tcPr>
            <w:tcW w:type="dxa" w:w="374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перевіряти деконфлікцію з планами польотів дружньої авіації та зонами заборони ураження</w:t>
            </w:r>
          </w:p>
        </w:tc>
        <w:tc>
          <w:tcPr>
            <w:tcW w:type="dxa" w:w="14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Високий</w:t>
            </w:r>
          </w:p>
        </w:tc>
        <w:tc>
          <w:tcPr>
            <w:tcW w:type="dxa" w:w="1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ЗС-1, ЗС-7</w:t>
            </w:r>
          </w:p>
        </w:tc>
        <w:tc>
          <w:tcPr>
            <w:tcW w:type="dxa" w:w="181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UC-05</w:t>
            </w:r>
          </w:p>
        </w:tc>
      </w:tr>
      <w:tr>
        <w:trPr>
          <w:cantSplit w:val="true"/>
        </w:trPr>
        <w:tc>
          <w:tcPr>
            <w:tcW w:type="dxa" w:w="9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FR-08</w:t>
            </w:r>
          </w:p>
        </w:tc>
        <w:tc>
          <w:tcPr>
            <w:tcW w:type="dxa" w:w="374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рекомендувати розрахунки-кандидати з урахуванням готовності, ресурсу та метеоумов</w:t>
            </w:r>
          </w:p>
        </w:tc>
        <w:tc>
          <w:tcPr>
            <w:tcW w:type="dxa" w:w="14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Високий</w:t>
            </w:r>
          </w:p>
        </w:tc>
        <w:tc>
          <w:tcPr>
            <w:tcW w:type="dxa" w:w="1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ЗС-2</w:t>
            </w:r>
          </w:p>
        </w:tc>
        <w:tc>
          <w:tcPr>
            <w:tcW w:type="dxa" w:w="181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UC-04, UC-06</w:t>
            </w:r>
          </w:p>
        </w:tc>
      </w:tr>
      <w:tr>
        <w:trPr>
          <w:cantSplit w:val="true"/>
        </w:trPr>
        <w:tc>
          <w:tcPr>
            <w:tcW w:type="dxa" w:w="9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FR-09</w:t>
            </w:r>
          </w:p>
        </w:tc>
        <w:tc>
          <w:tcPr>
            <w:tcW w:type="dxa" w:w="374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створювати бойове завдання (місію) і призначати на нього розрахунок</w:t>
            </w:r>
          </w:p>
        </w:tc>
        <w:tc>
          <w:tcPr>
            <w:tcW w:type="dxa" w:w="14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Високий</w:t>
            </w:r>
          </w:p>
        </w:tc>
        <w:tc>
          <w:tcPr>
            <w:tcW w:type="dxa" w:w="1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ЗС-2</w:t>
            </w:r>
          </w:p>
        </w:tc>
        <w:tc>
          <w:tcPr>
            <w:tcW w:type="dxa" w:w="181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UC-04</w:t>
            </w:r>
          </w:p>
        </w:tc>
      </w:tr>
      <w:tr>
        <w:trPr>
          <w:cantSplit w:val="true"/>
        </w:trPr>
        <w:tc>
          <w:tcPr>
            <w:tcW w:type="dxa" w:w="9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FR-10</w:t>
            </w:r>
          </w:p>
        </w:tc>
        <w:tc>
          <w:tcPr>
            <w:tcW w:type="dxa" w:w="374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забезпечувати санкціонування пуску оперативним черговим із дотриманням правила двох осіб</w:t>
            </w:r>
          </w:p>
        </w:tc>
        <w:tc>
          <w:tcPr>
            <w:tcW w:type="dxa" w:w="14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Високий</w:t>
            </w:r>
          </w:p>
        </w:tc>
        <w:tc>
          <w:tcPr>
            <w:tcW w:type="dxa" w:w="1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ЗС-1</w:t>
            </w:r>
          </w:p>
        </w:tc>
        <w:tc>
          <w:tcPr>
            <w:tcW w:type="dxa" w:w="181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UC-07</w:t>
            </w:r>
          </w:p>
        </w:tc>
      </w:tr>
      <w:tr>
        <w:trPr>
          <w:cantSplit w:val="true"/>
        </w:trPr>
        <w:tc>
          <w:tcPr>
            <w:tcW w:type="dxa" w:w="9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FR-11</w:t>
            </w:r>
          </w:p>
        </w:tc>
        <w:tc>
          <w:tcPr>
            <w:tcW w:type="dxa" w:w="374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доставляти завдання на планшет розрахунку та фіксувати його прийняття або відхилення</w:t>
            </w:r>
          </w:p>
        </w:tc>
        <w:tc>
          <w:tcPr>
            <w:tcW w:type="dxa" w:w="14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Високий</w:t>
            </w:r>
          </w:p>
        </w:tc>
        <w:tc>
          <w:tcPr>
            <w:tcW w:type="dxa" w:w="1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ЗС-3</w:t>
            </w:r>
          </w:p>
        </w:tc>
        <w:tc>
          <w:tcPr>
            <w:tcW w:type="dxa" w:w="181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UC-08</w:t>
            </w:r>
          </w:p>
        </w:tc>
      </w:tr>
      <w:tr>
        <w:trPr>
          <w:cantSplit w:val="true"/>
        </w:trPr>
        <w:tc>
          <w:tcPr>
            <w:tcW w:type="dxa" w:w="99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FR-12</w:t>
            </w:r>
          </w:p>
        </w:tc>
        <w:tc>
          <w:tcPr>
            <w:tcW w:type="dxa" w:w="374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відображати хід місії (ціль і телеметрія перехоплювача) та дозволяти її скасування</w:t>
            </w:r>
          </w:p>
        </w:tc>
        <w:tc>
          <w:tcPr>
            <w:tcW w:type="dxa" w:w="146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Високий</w:t>
            </w:r>
          </w:p>
        </w:tc>
        <w:tc>
          <w:tcPr>
            <w:tcW w:type="dxa" w:w="134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ЗС-2, ЗС-3</w:t>
            </w:r>
          </w:p>
        </w:tc>
        <w:tc>
          <w:tcPr>
            <w:tcW w:type="dxa" w:w="181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UC-09, UC-10</w:t>
            </w:r>
          </w:p>
        </w:tc>
      </w:tr>
    </w:tbl>
    <w:p>
      <w:pPr>
        <w:keepNext/>
        <w:pageBreakBefore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Продовження таблиці 1.5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  <w:cantSplit w:val="true"/>
        </w:trPr>
        <w:tc>
          <w:tcPr>
            <w:tcW w:type="dxa" w:w="9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Код</w:t>
            </w:r>
          </w:p>
        </w:tc>
        <w:tc>
          <w:tcPr>
            <w:tcW w:type="dxa" w:w="374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Система повинна…</w:t>
            </w:r>
          </w:p>
        </w:tc>
        <w:tc>
          <w:tcPr>
            <w:tcW w:type="dxa" w:w="14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Пріоритет</w:t>
            </w:r>
          </w:p>
        </w:tc>
        <w:tc>
          <w:tcPr>
            <w:tcW w:type="dxa" w:w="1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Джерело</w:t>
            </w:r>
          </w:p>
        </w:tc>
        <w:tc>
          <w:tcPr>
            <w:tcW w:type="dxa" w:w="181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Прецеденти</w:t>
            </w:r>
          </w:p>
        </w:tc>
      </w:tr>
      <w:tr>
        <w:trPr>
          <w:cantSplit w:val="true"/>
        </w:trPr>
        <w:tc>
          <w:tcPr>
            <w:tcW w:type="dxa" w:w="9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FR-13</w:t>
            </w:r>
          </w:p>
        </w:tc>
        <w:tc>
          <w:tcPr>
            <w:tcW w:type="dxa" w:w="374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фіксувати результат перехоплення і формувати звіт про перехоплення</w:t>
            </w:r>
          </w:p>
        </w:tc>
        <w:tc>
          <w:tcPr>
            <w:tcW w:type="dxa" w:w="14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Середній</w:t>
            </w:r>
          </w:p>
        </w:tc>
        <w:tc>
          <w:tcPr>
            <w:tcW w:type="dxa" w:w="1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ЗС-1, ЗС-5</w:t>
            </w:r>
          </w:p>
        </w:tc>
        <w:tc>
          <w:tcPr>
            <w:tcW w:type="dxa" w:w="181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UC-11, UC-17</w:t>
            </w:r>
          </w:p>
        </w:tc>
      </w:tr>
      <w:tr>
        <w:trPr>
          <w:cantSplit w:val="true"/>
        </w:trPr>
        <w:tc>
          <w:tcPr>
            <w:tcW w:type="dxa" w:w="9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FR-14</w:t>
            </w:r>
          </w:p>
        </w:tc>
        <w:tc>
          <w:tcPr>
            <w:tcW w:type="dxa" w:w="374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вести облік готовності розрахунків, перехоплювачів, АКБ та обслуговування техніки</w:t>
            </w:r>
          </w:p>
        </w:tc>
        <w:tc>
          <w:tcPr>
            <w:tcW w:type="dxa" w:w="14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Середній</w:t>
            </w:r>
          </w:p>
        </w:tc>
        <w:tc>
          <w:tcPr>
            <w:tcW w:type="dxa" w:w="1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ЗС-4</w:t>
            </w:r>
          </w:p>
        </w:tc>
        <w:tc>
          <w:tcPr>
            <w:tcW w:type="dxa" w:w="181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UC-14</w:t>
            </w:r>
          </w:p>
        </w:tc>
      </w:tr>
      <w:tr>
        <w:trPr>
          <w:cantSplit w:val="true"/>
        </w:trPr>
        <w:tc>
          <w:tcPr>
            <w:tcW w:type="dxa" w:w="9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FR-15</w:t>
            </w:r>
          </w:p>
        </w:tc>
        <w:tc>
          <w:tcPr>
            <w:tcW w:type="dxa" w:w="374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вести облік запасів і формувати заявки на поповнення</w:t>
            </w:r>
          </w:p>
        </w:tc>
        <w:tc>
          <w:tcPr>
            <w:tcW w:type="dxa" w:w="14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Середній</w:t>
            </w:r>
          </w:p>
        </w:tc>
        <w:tc>
          <w:tcPr>
            <w:tcW w:type="dxa" w:w="1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ЗС-4</w:t>
            </w:r>
          </w:p>
        </w:tc>
        <w:tc>
          <w:tcPr>
            <w:tcW w:type="dxa" w:w="181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UC-15, UC-16</w:t>
            </w:r>
          </w:p>
        </w:tc>
      </w:tr>
      <w:tr>
        <w:trPr>
          <w:cantSplit w:val="true"/>
        </w:trPr>
        <w:tc>
          <w:tcPr>
            <w:tcW w:type="dxa" w:w="9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FR-16</w:t>
            </w:r>
          </w:p>
        </w:tc>
        <w:tc>
          <w:tcPr>
            <w:tcW w:type="dxa" w:w="374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формувати сповіщення та ескалювати непідтверджені події</w:t>
            </w:r>
          </w:p>
        </w:tc>
        <w:tc>
          <w:tcPr>
            <w:tcW w:type="dxa" w:w="14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Середній</w:t>
            </w:r>
          </w:p>
        </w:tc>
        <w:tc>
          <w:tcPr>
            <w:tcW w:type="dxa" w:w="1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ЗС-2, ЗС-4</w:t>
            </w:r>
          </w:p>
        </w:tc>
        <w:tc>
          <w:tcPr>
            <w:tcW w:type="dxa" w:w="181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UC-23</w:t>
            </w:r>
          </w:p>
        </w:tc>
      </w:tr>
      <w:tr>
        <w:trPr>
          <w:cantSplit w:val="true"/>
        </w:trPr>
        <w:tc>
          <w:tcPr>
            <w:tcW w:type="dxa" w:w="9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FR-17</w:t>
            </w:r>
          </w:p>
        </w:tc>
        <w:tc>
          <w:tcPr>
            <w:tcW w:type="dxa" w:w="374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надавати аналітику KPI та відтворення записів місій</w:t>
            </w:r>
          </w:p>
        </w:tc>
        <w:tc>
          <w:tcPr>
            <w:tcW w:type="dxa" w:w="14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Середній</w:t>
            </w:r>
          </w:p>
        </w:tc>
        <w:tc>
          <w:tcPr>
            <w:tcW w:type="dxa" w:w="1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ЗС-5</w:t>
            </w:r>
          </w:p>
        </w:tc>
        <w:tc>
          <w:tcPr>
            <w:tcW w:type="dxa" w:w="181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UC-18, UC-19</w:t>
            </w:r>
          </w:p>
        </w:tc>
      </w:tr>
      <w:tr>
        <w:trPr>
          <w:cantSplit w:val="true"/>
        </w:trPr>
        <w:tc>
          <w:tcPr>
            <w:tcW w:type="dxa" w:w="9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FR-18</w:t>
            </w:r>
          </w:p>
        </w:tc>
        <w:tc>
          <w:tcPr>
            <w:tcW w:type="dxa" w:w="374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обмінюватися даними з національною системою ситуаційної обізнаності, Повітряними силами ЗСУ, системою тривоги та метеосервісом</w:t>
            </w:r>
          </w:p>
        </w:tc>
        <w:tc>
          <w:tcPr>
            <w:tcW w:type="dxa" w:w="14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Середній</w:t>
            </w:r>
          </w:p>
        </w:tc>
        <w:tc>
          <w:tcPr>
            <w:tcW w:type="dxa" w:w="1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ЗС-7</w:t>
            </w:r>
          </w:p>
        </w:tc>
        <w:tc>
          <w:tcPr>
            <w:tcW w:type="dxa" w:w="181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UC-12, UC-17</w:t>
            </w:r>
          </w:p>
        </w:tc>
      </w:tr>
      <w:tr>
        <w:trPr>
          <w:cantSplit w:val="true"/>
        </w:trPr>
        <w:tc>
          <w:tcPr>
            <w:tcW w:type="dxa" w:w="9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FR-19</w:t>
            </w:r>
          </w:p>
        </w:tc>
        <w:tc>
          <w:tcPr>
            <w:tcW w:type="dxa" w:w="374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управляти користувачами, ролями й автентифікацією (RBAC, двофакторна автентифікація)</w:t>
            </w:r>
          </w:p>
        </w:tc>
        <w:tc>
          <w:tcPr>
            <w:tcW w:type="dxa" w:w="14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Високий</w:t>
            </w:r>
          </w:p>
        </w:tc>
        <w:tc>
          <w:tcPr>
            <w:tcW w:type="dxa" w:w="1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ЗС-6</w:t>
            </w:r>
          </w:p>
        </w:tc>
        <w:tc>
          <w:tcPr>
            <w:tcW w:type="dxa" w:w="181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UC-20, UC-22</w:t>
            </w:r>
          </w:p>
        </w:tc>
      </w:tr>
      <w:tr>
        <w:trPr>
          <w:cantSplit w:val="true"/>
        </w:trPr>
        <w:tc>
          <w:tcPr>
            <w:tcW w:type="dxa" w:w="9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FR-20</w:t>
            </w:r>
          </w:p>
        </w:tc>
        <w:tc>
          <w:tcPr>
            <w:tcW w:type="dxa" w:w="374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вести незмінний журнал аудиту всіх команд і змін станів</w:t>
            </w:r>
          </w:p>
        </w:tc>
        <w:tc>
          <w:tcPr>
            <w:tcW w:type="dxa" w:w="14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Високий</w:t>
            </w:r>
          </w:p>
        </w:tc>
        <w:tc>
          <w:tcPr>
            <w:tcW w:type="dxa" w:w="1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ЗС-6</w:t>
            </w:r>
          </w:p>
        </w:tc>
        <w:tc>
          <w:tcPr>
            <w:tcW w:type="dxa" w:w="181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UC-21</w:t>
            </w:r>
          </w:p>
        </w:tc>
      </w:tr>
      <w:tr>
        <w:trPr>
          <w:cantSplit w:val="true"/>
        </w:trPr>
        <w:tc>
          <w:tcPr>
            <w:tcW w:type="dxa" w:w="9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FR-21</w:t>
            </w:r>
          </w:p>
        </w:tc>
        <w:tc>
          <w:tcPr>
            <w:tcW w:type="dxa" w:w="374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експортувати звіти у формати PDF і XLSX</w:t>
            </w:r>
          </w:p>
        </w:tc>
        <w:tc>
          <w:tcPr>
            <w:tcW w:type="dxa" w:w="146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Низький</w:t>
            </w:r>
          </w:p>
        </w:tc>
        <w:tc>
          <w:tcPr>
            <w:tcW w:type="dxa" w:w="1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ЗС-5</w:t>
            </w:r>
          </w:p>
        </w:tc>
        <w:tc>
          <w:tcPr>
            <w:tcW w:type="dxa" w:w="181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UC-17</w:t>
            </w:r>
          </w:p>
        </w:tc>
      </w:tr>
      <w:tr>
        <w:trPr>
          <w:cantSplit w:val="true"/>
        </w:trPr>
        <w:tc>
          <w:tcPr>
            <w:tcW w:type="dxa" w:w="99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FR-22</w:t>
            </w:r>
          </w:p>
        </w:tc>
        <w:tc>
          <w:tcPr>
            <w:tcW w:type="dxa" w:w="374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надавати тренувальний режим із симуляцією повітряної обстановки для підготовки операторів</w:t>
            </w:r>
          </w:p>
        </w:tc>
        <w:tc>
          <w:tcPr>
            <w:tcW w:type="dxa" w:w="146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Низький</w:t>
            </w:r>
          </w:p>
        </w:tc>
        <w:tc>
          <w:tcPr>
            <w:tcW w:type="dxa" w:w="134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ЗС-1</w:t>
            </w:r>
          </w:p>
        </w:tc>
        <w:tc>
          <w:tcPr>
            <w:tcW w:type="dxa" w:w="181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—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15" w:name="_Toc000015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4.3. Нефункціональні вимоги</w:t>
      </w:r>
      <w:bookmarkEnd w:id="15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Нефункціональні вимоги згруповано за характеристиками якості (продуктивність, надійність, безпека, зручність використання, супроводжуваність, сумісність), що відповідає моделі якості ISO/IEC 25010 [8], на яку посилається посібник [4], і переліку системних якостей SRS [1]. Кожна вимога має вимірюваний критерій, що дозволяє перевірити її під час тестування (табл. 1.6).</w:t>
      </w:r>
    </w:p>
    <w:p>
      <w:pPr>
        <w:keepNext/>
        <w:pageBreakBefore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1.6 — Нефункціональні вимоги до IoT-платформи «Щит-Лінк»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116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Код</w:t>
            </w:r>
          </w:p>
        </w:tc>
        <w:tc>
          <w:tcPr>
            <w:tcW w:type="dxa" w:w="22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Категорія</w:t>
            </w:r>
          </w:p>
        </w:tc>
        <w:tc>
          <w:tcPr>
            <w:tcW w:type="dxa" w:w="309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Вимога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Критерій (метрика)</w:t>
            </w:r>
          </w:p>
        </w:tc>
      </w:tr>
      <w:tr>
        <w:trPr>
          <w:cantSplit w:val="true"/>
        </w:trPr>
        <w:tc>
          <w:tcPr>
            <w:tcW w:type="dxa" w:w="116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NFR-01</w:t>
            </w:r>
          </w:p>
        </w:tc>
        <w:tc>
          <w:tcPr>
            <w:tcW w:type="dxa" w:w="22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Продуктивність</w:t>
            </w:r>
          </w:p>
        </w:tc>
        <w:tc>
          <w:tcPr>
            <w:tcW w:type="dxa" w:w="309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Затримка «сенсор — екран АРМ»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≤ 2 с (95-й процентиль)</w:t>
            </w:r>
          </w:p>
        </w:tc>
      </w:tr>
      <w:tr>
        <w:trPr>
          <w:cantSplit w:val="true"/>
        </w:trPr>
        <w:tc>
          <w:tcPr>
            <w:tcW w:type="dxa" w:w="116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NFR-02</w:t>
            </w:r>
          </w:p>
        </w:tc>
        <w:tc>
          <w:tcPr>
            <w:tcW w:type="dxa" w:w="22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Продуктивність</w:t>
            </w:r>
          </w:p>
        </w:tc>
        <w:tc>
          <w:tcPr>
            <w:tcW w:type="dxa" w:w="309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Доставка бойового завдання на планшет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≤ 1 с (95-й процентиль)</w:t>
            </w:r>
          </w:p>
        </w:tc>
      </w:tr>
      <w:tr>
        <w:trPr>
          <w:cantSplit w:val="true"/>
        </w:trPr>
        <w:tc>
          <w:tcPr>
            <w:tcW w:type="dxa" w:w="116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NFR-03</w:t>
            </w:r>
          </w:p>
        </w:tc>
        <w:tc>
          <w:tcPr>
            <w:tcW w:type="dxa" w:w="22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Пропускна здатність</w:t>
            </w:r>
          </w:p>
        </w:tc>
        <w:tc>
          <w:tcPr>
            <w:tcW w:type="dxa" w:w="309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Пікове навантаження прийому даних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≥ 20 000 повідомлень/с; ≥ 500 треків</w:t>
            </w:r>
          </w:p>
        </w:tc>
      </w:tr>
      <w:tr>
        <w:trPr>
          <w:cantSplit w:val="true"/>
        </w:trPr>
        <w:tc>
          <w:tcPr>
            <w:tcW w:type="dxa" w:w="116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NFR-04</w:t>
            </w:r>
          </w:p>
        </w:tc>
        <w:tc>
          <w:tcPr>
            <w:tcW w:type="dxa" w:w="22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Масштабованість</w:t>
            </w:r>
          </w:p>
        </w:tc>
        <w:tc>
          <w:tcPr>
            <w:tcW w:type="dxa" w:w="309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Одночасні користувачі; горизонтальне масштабування сервісів реального часу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≥ 150 користувачів без деградації NFR-01</w:t>
            </w:r>
          </w:p>
        </w:tc>
      </w:tr>
      <w:tr>
        <w:trPr>
          <w:cantSplit w:val="true"/>
        </w:trPr>
        <w:tc>
          <w:tcPr>
            <w:tcW w:type="dxa" w:w="116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NFR-05</w:t>
            </w:r>
          </w:p>
        </w:tc>
        <w:tc>
          <w:tcPr>
            <w:tcW w:type="dxa" w:w="22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Доступність</w:t>
            </w:r>
          </w:p>
        </w:tc>
        <w:tc>
          <w:tcPr>
            <w:tcW w:type="dxa" w:w="309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Доступність ядра платформи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≥ 99,95 % на місяць</w:t>
            </w:r>
          </w:p>
        </w:tc>
      </w:tr>
      <w:tr>
        <w:trPr>
          <w:cantSplit w:val="true"/>
        </w:trPr>
        <w:tc>
          <w:tcPr>
            <w:tcW w:type="dxa" w:w="116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NFR-06</w:t>
            </w:r>
          </w:p>
        </w:tc>
        <w:tc>
          <w:tcPr>
            <w:tcW w:type="dxa" w:w="22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Надійність</w:t>
            </w:r>
          </w:p>
        </w:tc>
        <w:tc>
          <w:tcPr>
            <w:tcW w:type="dxa" w:w="309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Автономність шлюзу; відновлення ядра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≥ 4 год офлайн; RPO ≤ 5 с, RTO ≤ 60 с</w:t>
            </w:r>
          </w:p>
        </w:tc>
      </w:tr>
      <w:tr>
        <w:trPr>
          <w:cantSplit w:val="true"/>
        </w:trPr>
        <w:tc>
          <w:tcPr>
            <w:tcW w:type="dxa" w:w="116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NFR-07</w:t>
            </w:r>
          </w:p>
        </w:tc>
        <w:tc>
          <w:tcPr>
            <w:tcW w:type="dxa" w:w="22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Безпека</w:t>
            </w:r>
          </w:p>
        </w:tc>
        <w:tc>
          <w:tcPr>
            <w:tcW w:type="dxa" w:w="309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Взаємна автентифікація пристроїв і сервісів, шифрування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mTLS, TLS 1.3, AES-256</w:t>
            </w:r>
          </w:p>
        </w:tc>
      </w:tr>
      <w:tr>
        <w:trPr>
          <w:cantSplit w:val="true"/>
        </w:trPr>
        <w:tc>
          <w:tcPr>
            <w:tcW w:type="dxa" w:w="116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NFR-08</w:t>
            </w:r>
          </w:p>
        </w:tc>
        <w:tc>
          <w:tcPr>
            <w:tcW w:type="dxa" w:w="22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Безпека</w:t>
            </w:r>
          </w:p>
        </w:tc>
        <w:tc>
          <w:tcPr>
            <w:tcW w:type="dxa" w:w="309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Доступ користувачів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Двофакторна автентифікація, RBAC, блокування сеансу 15 хв</w:t>
            </w:r>
          </w:p>
        </w:tc>
      </w:tr>
      <w:tr>
        <w:trPr>
          <w:cantSplit w:val="true"/>
        </w:trPr>
        <w:tc>
          <w:tcPr>
            <w:tcW w:type="dxa" w:w="116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NFR-09</w:t>
            </w:r>
          </w:p>
        </w:tc>
        <w:tc>
          <w:tcPr>
            <w:tcW w:type="dxa" w:w="22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Аудит</w:t>
            </w:r>
          </w:p>
        </w:tc>
        <w:tc>
          <w:tcPr>
            <w:tcW w:type="dxa" w:w="309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Повнота і збереження журналу аудиту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100 % команд і змін станів; ≥ 3 роки</w:t>
            </w:r>
          </w:p>
        </w:tc>
      </w:tr>
      <w:tr>
        <w:trPr>
          <w:cantSplit w:val="true"/>
        </w:trPr>
        <w:tc>
          <w:tcPr>
            <w:tcW w:type="dxa" w:w="116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NFR-10</w:t>
            </w:r>
          </w:p>
        </w:tc>
        <w:tc>
          <w:tcPr>
            <w:tcW w:type="dxa" w:w="228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Зручність використання</w:t>
            </w:r>
          </w:p>
        </w:tc>
        <w:tc>
          <w:tcPr>
            <w:tcW w:type="dxa" w:w="309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Інтерфейс українською, нічна тема, умовні знаки APP-6</w:t>
            </w:r>
          </w:p>
        </w:tc>
        <w:tc>
          <w:tcPr>
            <w:tcW w:type="dxa" w:w="2806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Санкціонування / прийняття завдання — ≤ 2 дії</w:t>
            </w:r>
          </w:p>
        </w:tc>
      </w:tr>
    </w:tbl>
    <w:p>
      <w:pPr>
        <w:keepNext/>
        <w:pageBreakBefore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Продовження таблиці 1.6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116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Код</w:t>
            </w:r>
          </w:p>
        </w:tc>
        <w:tc>
          <w:tcPr>
            <w:tcW w:type="dxa" w:w="22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Категорія</w:t>
            </w:r>
          </w:p>
        </w:tc>
        <w:tc>
          <w:tcPr>
            <w:tcW w:type="dxa" w:w="309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Вимога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Критерій (метрика)</w:t>
            </w:r>
          </w:p>
        </w:tc>
      </w:tr>
      <w:tr>
        <w:trPr>
          <w:cantSplit w:val="true"/>
        </w:trPr>
        <w:tc>
          <w:tcPr>
            <w:tcW w:type="dxa" w:w="116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NFR-11</w:t>
            </w:r>
          </w:p>
        </w:tc>
        <w:tc>
          <w:tcPr>
            <w:tcW w:type="dxa" w:w="22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Зручність використання</w:t>
            </w:r>
          </w:p>
        </w:tc>
        <w:tc>
          <w:tcPr>
            <w:tcW w:type="dxa" w:w="309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Навчуваність нового оператора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≤ 8 год до самостійної роботи</w:t>
            </w:r>
          </w:p>
        </w:tc>
      </w:tr>
      <w:tr>
        <w:trPr>
          <w:cantSplit w:val="true"/>
        </w:trPr>
        <w:tc>
          <w:tcPr>
            <w:tcW w:type="dxa" w:w="116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NFR-12</w:t>
            </w:r>
          </w:p>
        </w:tc>
        <w:tc>
          <w:tcPr>
            <w:tcW w:type="dxa" w:w="22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Супроводжуваність</w:t>
            </w:r>
          </w:p>
        </w:tc>
        <w:tc>
          <w:tcPr>
            <w:tcW w:type="dxa" w:w="309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Модульна структура, автоматизовані тести, CI/CD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Покриття тестами критичних модулів ≥ 80 %</w:t>
            </w:r>
          </w:p>
        </w:tc>
      </w:tr>
      <w:tr>
        <w:trPr>
          <w:cantSplit w:val="true"/>
        </w:trPr>
        <w:tc>
          <w:tcPr>
            <w:tcW w:type="dxa" w:w="116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NFR-13</w:t>
            </w:r>
          </w:p>
        </w:tc>
        <w:tc>
          <w:tcPr>
            <w:tcW w:type="dxa" w:w="22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Сумісність</w:t>
            </w:r>
          </w:p>
        </w:tc>
        <w:tc>
          <w:tcPr>
            <w:tcW w:type="dxa" w:w="309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Клієнтські платформи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Chromium/Firefox (Linux, Windows); Android 12+</w:t>
            </w:r>
          </w:p>
        </w:tc>
      </w:tr>
      <w:tr>
        <w:trPr>
          <w:cantSplit w:val="true"/>
        </w:trPr>
        <w:tc>
          <w:tcPr>
            <w:tcW w:type="dxa" w:w="116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NFR-14</w:t>
            </w:r>
          </w:p>
        </w:tc>
        <w:tc>
          <w:tcPr>
            <w:tcW w:type="dxa" w:w="22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Зберігання даних</w:t>
            </w:r>
          </w:p>
        </w:tc>
        <w:tc>
          <w:tcPr>
            <w:tcW w:type="dxa" w:w="309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Строки зберігання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Телеметрія 30 діб повністю, 1 рік агреговано; місії 5 років</w:t>
            </w:r>
          </w:p>
        </w:tc>
      </w:tr>
      <w:tr>
        <w:trPr>
          <w:cantSplit w:val="true"/>
        </w:trPr>
        <w:tc>
          <w:tcPr>
            <w:tcW w:type="dxa" w:w="116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NFR-15</w:t>
            </w:r>
          </w:p>
        </w:tc>
        <w:tc>
          <w:tcPr>
            <w:tcW w:type="dxa" w:w="22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Відповідність</w:t>
            </w:r>
          </w:p>
        </w:tc>
        <w:tc>
          <w:tcPr>
            <w:tcW w:type="dxa" w:w="309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Закон України «Про захист інформації в інформаційно-комунікаційних системах», КСЗІ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Атестат відповідності КСЗІ</w:t>
            </w:r>
          </w:p>
        </w:tc>
      </w:tr>
      <w:tr>
        <w:trPr>
          <w:cantSplit w:val="true"/>
        </w:trPr>
        <w:tc>
          <w:tcPr>
            <w:tcW w:type="dxa" w:w="116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NFR-16</w:t>
            </w:r>
          </w:p>
        </w:tc>
        <w:tc>
          <w:tcPr>
            <w:tcW w:type="dxa" w:w="228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Безпека людини</w:t>
            </w:r>
          </w:p>
        </w:tc>
        <w:tc>
          <w:tcPr>
            <w:tcW w:type="dxa" w:w="309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Принцип «людина в контурі»</w:t>
            </w:r>
          </w:p>
        </w:tc>
        <w:tc>
          <w:tcPr>
            <w:tcW w:type="dxa" w:w="2806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 пусків без санкції оперативного чергового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16" w:name="_Toc000016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4.4. Аналіз вимог</w:t>
      </w:r>
      <w:bookmarkEnd w:id="16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Аналіз вимог виконано за критеріями лекції [5] — коректність, повнота, узгодженість, пріоритети, конфлікти й дублювання: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коректність і однозначність: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кожна вимога сформульована як «Система повинна…» з одним дієсловом дії; нефункціональні вимоги мають числові критерії (табл. 1.6);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повнота: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кожна функціональна вимога, крім FR-22, трасується щонайменше до одного з 23 варіантів використання (табл. 1.5); FR-22 (тренувальний режим) свідомо віднесено до майбутнього інкременту і зафіксовано як відкладену;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узгодженість: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виявлено п’ять конфліктів і випадків дублювання, способи їх розв’язання наведено в табл. 1.7;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пріоритети: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вимоги, від яких залежить безпека людей і своєчасність рішення, мають високий пріоритет і реалізуються в перших інкрементах; аналітика й експорт — середній і низький.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1.7 — Виявлені конфлікти та дублювання вимог і способи їх розв’язання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Конфлікт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Вимоги</w:t>
            </w:r>
          </w:p>
        </w:tc>
        <w:tc>
          <w:tcPr>
            <w:tcW w:type="dxa" w:w="432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Розв’язання</w:t>
            </w:r>
          </w:p>
        </w:tc>
      </w:tr>
      <w:tr>
        <w:trPr>
          <w:cantSplit w:val="true"/>
        </w:trPr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Швидкодія проти шифрування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NFR-01, NFR-02 ↔ NFR-07</w:t>
            </w:r>
          </w:p>
        </w:tc>
        <w:tc>
          <w:tcPr>
            <w:tcW w:type="dxa" w:w="432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Постійні захищені з’єднання, апаратне прискорення TLS, пріоритизація трафіку завдань</w:t>
            </w:r>
          </w:p>
        </w:tc>
      </w:tr>
      <w:tr>
        <w:trPr>
          <w:cantSplit w:val="true"/>
        </w:trPr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Швидкість рішення проти обов’язкового підтвердження людиною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FR-08, NFR-01 ↔ FR-05, FR-10, NFR-16</w:t>
            </w:r>
          </w:p>
        </w:tc>
        <w:tc>
          <w:tcPr>
            <w:tcW w:type="dxa" w:w="432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Автоматичні підказки і рекомендації; підтвердження однією-двома діями (NFR-10)</w:t>
            </w:r>
          </w:p>
        </w:tc>
      </w:tr>
      <w:tr>
        <w:trPr>
          <w:cantSplit w:val="true"/>
        </w:trPr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Автономність шлюзу проти централізованого контролю місій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FR-03 ↔ FR-10</w:t>
            </w:r>
          </w:p>
        </w:tc>
        <w:tc>
          <w:tcPr>
            <w:tcW w:type="dxa" w:w="432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Локальне призначення лише у власному секторі; після відновлення зв’язку стан місій узгоджується за ядром</w:t>
            </w:r>
          </w:p>
        </w:tc>
      </w:tr>
      <w:tr>
        <w:trPr>
          <w:cantSplit w:val="true"/>
        </w:trPr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Повнота телеметрії й відео проти пропускної здатності каналів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FR-12, NFR-14 ↔ NFR-03</w:t>
            </w:r>
          </w:p>
        </w:tc>
        <w:tc>
          <w:tcPr>
            <w:tcW w:type="dxa" w:w="432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Класи пріоритету: завдання &gt; треки &gt; телеметрія &gt; відео; відео передається на вимогу</w:t>
            </w:r>
          </w:p>
        </w:tc>
      </w:tr>
      <w:tr>
        <w:trPr>
          <w:cantSplit w:val="true"/>
        </w:trPr>
        <w:tc>
          <w:tcPr>
            <w:tcW w:type="dxa" w:w="268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Дублювання функцій передачі звіту</w:t>
            </w:r>
          </w:p>
        </w:tc>
        <w:tc>
          <w:tcPr>
            <w:tcW w:type="dxa" w:w="233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FR-13 ↔ FR-18</w:t>
            </w:r>
          </w:p>
        </w:tc>
        <w:tc>
          <w:tcPr>
            <w:tcW w:type="dxa" w:w="4326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Розмежовано: FR-13 — формування звіту, FR-18 — транспорт до зовнішніх систем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Управління вимогами передбачено за лекцією [5]: базову версію вимог зафіксовано після узгодження із замовником; зміни подаються як запити на зміну в системі Jira, кожен запит пов’язується з кодом вимоги, оцінюється за впливом на інкременти й затверджується замовником, а версія SRS збільшується.</w:t>
      </w: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17" w:name="_Toc000017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4.5. Діаграма варіантів використання</w:t>
      </w:r>
      <w:bookmarkEnd w:id="17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Актори системи визначені за ролями користувачів і зовнішніми системами (табл. 1.8). Ролі командного пункту узагальнено абстрактним актором «Персонал КП»: аналітик обстановки, оперативний черговий і офіцер бойового управління успадковують прецедент «Переглянути повітряну обстановку». Сенсорний вузол, наземна станція управління (НСУ) і національна система ситуаційної обізнаності позначені стереотипом «система» — це машинна взаємодія, характерна для IoT-систем.</w:t>
      </w:r>
    </w:p>
    <w:p>
      <w:pPr>
        <w:keepNext/>
        <w:pageBreakBefore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1.8 — Актори IoT-платформи «Щит-Лінк»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Актор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Відповідальність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Варіанти використання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Персонал КП (абстрактний)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Узагальнення ролей командного пункту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UC-02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Аналітик обстановки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Веде треки, підтверджує класифікацію цілей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UC-03 (+ UC-02)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Оперативний черговий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Санкціонує пуск, оголошує режими готовності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UC-07 (+ UC-02)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Офіцер бойового управління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Призначає розрахунки на цілі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UC-04 (+ UC-02)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Командир розрахунку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Приймає завдання, доповідає про результат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UC-08, UC-11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Оператор перехоплювача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Супроводжує місію, підтверджує ціль у фазі наведення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UC-09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Технік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Реєструє вузли, облікує справність техніки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UC-13, UC-14, UC-23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Логіст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Облікує запаси, формує заявки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UC-15, UC-16, UC-23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Аналітик ефективності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Звіти, KPI, відтворення місій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UC-17, UC-18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Адміністратор системи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Користувачі, ролі, пристрої (без бойових прав)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UC-20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Офіцер кібербезпеки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Аналіз журналу аудиту, реагування на інциденти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UC-21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Сенсорний вузол («система»)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Передає виявлення (M2M, MQTT / ASTERIX)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UC-01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НСУ розрахунку («система»)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Передає телеметрію перехоплювача (MAVLink 2)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UC-09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Національна система («система»)</w:t>
            </w:r>
          </w:p>
        </w:tc>
        <w:tc>
          <w:tcPr>
            <w:tcW w:type="dxa" w:w="4093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Обмін обстановкою та звітами</w:t>
            </w:r>
          </w:p>
        </w:tc>
        <w:tc>
          <w:tcPr>
            <w:tcW w:type="dxa" w:w="233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UC-12, UC-17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читабельності 23 варіанти використання розподілено між двома діаграмами. Діаграма збору даних і бойового управління (рис. 1.5) відображає основний ланцюг «виявлення — класифікація — призначення — санкціонування — прийняття завдання — супровід — доповідь». Прецедент «UC-04 Призначити розрахунок» завжди включає «UC-05 Перевірити деконфлікцію» («include»), а «UC-06 Обрати резервний розрахунок» розширює його, коли обраний розрахунок не підтвердив завдання («extend»); «UC-10 Скасувати місію» розширює «UC-09 Супроводжувати місію».</w:t>
      </w:r>
    </w:p>
    <w:p>
      <w:pPr>
        <w:sectPr>
          <w:footerReference w:type="default" r:id="rId8"/>
          <w:headerReference w:type="default" r:id="rId9"/>
          <w:footnotePr/>
          <w:endnotePr/>
          <w:pgSz w:h="16838" w:w="11906"/>
          <w:pgMar w:top="1134" w:right="850" w:bottom="1134" w:left="1701" w:header="709" w:footer="709" w:gutter="0"/>
          <w:cols w:num="1" w:sep="0" w:space="708" w:equalWidth="1"/>
        </w:sectPr>
      </w:pP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9252000" cy="48753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uc_comba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4875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1.5 — Діаграма варіантів використання: збір даних і бойове управління</w:t>
      </w:r>
    </w:p>
    <w:p>
      <w:pPr>
        <w:sectPr>
          <w:footnotePr/>
          <w:endnotePr/>
          <w:pgSz w:h="11906" w:w="16838" w:orient="landscape"/>
          <w:pgMar w:top="1701" w:right="1134" w:bottom="850" w:left="1134" w:header="709" w:footer="709" w:gutter="0"/>
          <w:cols w:num="1" w:sep="0" w:space="708" w:equalWidth="1"/>
        </w:sectPr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Діаграма ресурсів, звітності, інтеграції та адміністрування (рис. 1.6) охоплює облік техніки, запасів і сповіщень, звітність і аналітику, обмін даними з національною системою та функції безпеки. Прецеденти «UC-20 Керувати ролями користувачів» і «UC-21 Переглянути журнал аудиту» включають двофакторну автентифікацію («UC-22»), а «UC-19 Відтворити запис місії» розширює перегляд показників KPI.</w:t>
      </w:r>
    </w:p>
    <w:p>
      <w:pPr>
        <w:sectPr>
          <w:footnotePr/>
          <w:endnotePr/>
          <w:pgSz w:h="16838" w:w="11906"/>
          <w:pgMar w:top="1134" w:right="850" w:bottom="1134" w:left="1701" w:header="709" w:footer="709" w:gutter="0"/>
          <w:cols w:num="1" w:sep="0" w:space="708" w:equalWidth="1"/>
        </w:sectPr>
      </w:pP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9252000" cy="51692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uc_suppor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5169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1.6 — Діаграма варіантів використання: ресурси, звітність, інтеграція і адміністрування</w:t>
      </w:r>
    </w:p>
    <w:p>
      <w:pPr>
        <w:sectPr>
          <w:footnotePr/>
          <w:endnotePr/>
          <w:pgSz w:h="11906" w:w="16838" w:orient="landscape"/>
          <w:pgMar w:top="1701" w:right="1134" w:bottom="850" w:left="1134" w:header="709" w:footer="709" w:gutter="0"/>
          <w:cols w:num="1" w:sep="0" w:space="708" w:equalWidth="1"/>
        </w:sectPr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Повний перелік варіантів використання з акторами наведено в табл. 1.9; трасування до функціональних вимог — у табл. 1.5.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1.9 — Перелік варіантів використання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Код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Варіант використання</w:t>
            </w:r>
          </w:p>
        </w:tc>
        <w:tc>
          <w:tcPr>
            <w:tcW w:type="dxa" w:w="420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Актори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UC-01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Передати виявлення</w:t>
            </w:r>
          </w:p>
        </w:tc>
        <w:tc>
          <w:tcPr>
            <w:tcW w:type="dxa" w:w="420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Сенсорний вузол («система»)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UC-02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Переглянути повітряну обстановку</w:t>
            </w:r>
          </w:p>
        </w:tc>
        <w:tc>
          <w:tcPr>
            <w:tcW w:type="dxa" w:w="420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Персонал КП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UC-03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Класифікувати ціль</w:t>
            </w:r>
          </w:p>
        </w:tc>
        <w:tc>
          <w:tcPr>
            <w:tcW w:type="dxa" w:w="420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Аналітик обстановки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UC-04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Призначити розрахунок</w:t>
            </w:r>
          </w:p>
        </w:tc>
        <w:tc>
          <w:tcPr>
            <w:tcW w:type="dxa" w:w="420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Офіцер бойового управління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UC-05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Перевірити деконфлікцію</w:t>
            </w:r>
          </w:p>
        </w:tc>
        <w:tc>
          <w:tcPr>
            <w:tcW w:type="dxa" w:w="420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— (включається в UC-04)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UC-06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Обрати резервний розрахунок</w:t>
            </w:r>
          </w:p>
        </w:tc>
        <w:tc>
          <w:tcPr>
            <w:tcW w:type="dxa" w:w="420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— (розширює UC-04)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UC-07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Санкціонувати пуск</w:t>
            </w:r>
          </w:p>
        </w:tc>
        <w:tc>
          <w:tcPr>
            <w:tcW w:type="dxa" w:w="420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Оперативний черговий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UC-08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Прийняти бойове завдання</w:t>
            </w:r>
          </w:p>
        </w:tc>
        <w:tc>
          <w:tcPr>
            <w:tcW w:type="dxa" w:w="420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Командир розрахунку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UC-09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Супроводжувати місію</w:t>
            </w:r>
          </w:p>
        </w:tc>
        <w:tc>
          <w:tcPr>
            <w:tcW w:type="dxa" w:w="420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Оператор перехоплювача; НСУ («система»)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UC-10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Скасувати місію</w:t>
            </w:r>
          </w:p>
        </w:tc>
        <w:tc>
          <w:tcPr>
            <w:tcW w:type="dxa" w:w="420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— (розширює UC-09)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UC-11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Доповісти про результат</w:t>
            </w:r>
          </w:p>
        </w:tc>
        <w:tc>
          <w:tcPr>
            <w:tcW w:type="dxa" w:w="420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Командир розрахунку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UC-12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Обмінятися даними обстановки</w:t>
            </w:r>
          </w:p>
        </w:tc>
        <w:tc>
          <w:tcPr>
            <w:tcW w:type="dxa" w:w="420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Національна система («система»)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UC-13</w:t>
            </w:r>
          </w:p>
        </w:tc>
        <w:tc>
          <w:tcPr>
            <w:tcW w:type="dxa" w:w="4093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Зареєструвати сенсорний вузол</w:t>
            </w:r>
          </w:p>
        </w:tc>
        <w:tc>
          <w:tcPr>
            <w:tcW w:type="dxa" w:w="420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Технік</w:t>
            </w:r>
          </w:p>
        </w:tc>
      </w:tr>
    </w:tbl>
    <w:p>
      <w:pPr>
        <w:keepNext/>
        <w:pageBreakBefore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Продовження таблиці 1.9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Код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Варіант використання</w:t>
            </w:r>
          </w:p>
        </w:tc>
        <w:tc>
          <w:tcPr>
            <w:tcW w:type="dxa" w:w="420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Актори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UC-14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Облікувати стан техніки</w:t>
            </w:r>
          </w:p>
        </w:tc>
        <w:tc>
          <w:tcPr>
            <w:tcW w:type="dxa" w:w="420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Технік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UC-15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Облікувати запаси</w:t>
            </w:r>
          </w:p>
        </w:tc>
        <w:tc>
          <w:tcPr>
            <w:tcW w:type="dxa" w:w="420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Логіст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UC-16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Подати заявку на поповнення</w:t>
            </w:r>
          </w:p>
        </w:tc>
        <w:tc>
          <w:tcPr>
            <w:tcW w:type="dxa" w:w="420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Логіст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UC-17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Скласти звіт про перехоплення</w:t>
            </w:r>
          </w:p>
        </w:tc>
        <w:tc>
          <w:tcPr>
            <w:tcW w:type="dxa" w:w="420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Аналітик ефективності; національна система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UC-18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Переглянути показники KPI</w:t>
            </w:r>
          </w:p>
        </w:tc>
        <w:tc>
          <w:tcPr>
            <w:tcW w:type="dxa" w:w="420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Аналітик ефективності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UC-19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Відтворити запис місії</w:t>
            </w:r>
          </w:p>
        </w:tc>
        <w:tc>
          <w:tcPr>
            <w:tcW w:type="dxa" w:w="420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— (розширює UC-18)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UC-20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Керувати ролями користувачів</w:t>
            </w:r>
          </w:p>
        </w:tc>
        <w:tc>
          <w:tcPr>
            <w:tcW w:type="dxa" w:w="420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Адміністратор системи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UC-21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Переглянути журнал аудиту</w:t>
            </w:r>
          </w:p>
        </w:tc>
        <w:tc>
          <w:tcPr>
            <w:tcW w:type="dxa" w:w="420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Офіцер кібербезпеки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UC-22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Автентифікуватися (2FA)</w:t>
            </w:r>
          </w:p>
        </w:tc>
        <w:tc>
          <w:tcPr>
            <w:tcW w:type="dxa" w:w="420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— (включається в UC-20, UC-21)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UC-23</w:t>
            </w:r>
          </w:p>
        </w:tc>
        <w:tc>
          <w:tcPr>
            <w:tcW w:type="dxa" w:w="4093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Опрацювати сповіщення</w:t>
            </w:r>
          </w:p>
        </w:tc>
        <w:tc>
          <w:tcPr>
            <w:tcW w:type="dxa" w:w="420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Технік, логіст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18" w:name="_Toc000018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4.6. Специфікації основних варіантів використання</w:t>
      </w:r>
      <w:bookmarkEnd w:id="18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Текстові специфікації складено для чотирьох прецедентів основного ланцюга ухвалення рішення (табл. 1.10–1.13) за структурою прикладу опису діаграм [7]: короткий опис, передумови, основний потік подій, альтернативні потоки, постумови. Кожна специфікація відповідає властивостям прецедента [6]: описує, що робить система, з погляду актора і завершується повідомленням акторові.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1.10 — Специфікація варіанта використання «UC-03 Класифікувати ціль»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rPr>
          <w:tblHeader w:val="true"/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Елемент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Зміст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Актори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Аналітик обстановки (основний); класифікатор (підсистема)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Короткий опис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Аналітик підтверджує або виправляє автоматичну класифікацію підтвердженого повітряного треку.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Передумови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Трек має стан «Підтверджений»; користувач автентифікований і має роль аналітика.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Основний потік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 Система показує трек у черзі на класифікацію разом із підказкою типу цілі та рівнем достовірності.</w:t>
            </w:r>
          </w:p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2. Система звіряє трек із планами польотів дружньої авіації.</w:t>
            </w:r>
          </w:p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3. Аналітик переглядає кінематику, джерела виявлень і відео.</w:t>
            </w:r>
          </w:p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4. Аналітик підтверджує тип і належність цілі.</w:t>
            </w:r>
          </w:p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5. Система обчислює оцінку загрози, присвоює пріоритет і ставить ціль у чергу.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Альтернативні потоки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3а. Трек корелює з планом польоту дружньої авіації — система блокує призначення й позначає трек як дружній.</w:t>
            </w:r>
          </w:p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4а. Належність неоднозначна — аналітик ескалює рішення оперативному черговому.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Постумови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Трек має стан «Класифікований»; дію записано в журнал аудиту.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Вимоги</w:t>
            </w:r>
          </w:p>
        </w:tc>
        <w:tc>
          <w:tcPr>
            <w:tcW w:type="dxa" w:w="725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FR-05, FR-06, FR-20</w:t>
            </w:r>
          </w:p>
        </w:tc>
      </w:tr>
    </w:tbl>
    <w:p>
      <w:pPr>
        <w:keepNext/>
        <w:pageBreakBefore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1.11 — Специфікація варіанта використання «UC-04 Призначити розрахунок»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rPr>
          <w:tblHeader w:val="true"/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Елемент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Зміст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Актори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Офіцер бойового управління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Короткий опис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Вибір розрахунку для перехоплення класифікованої ворожої цілі та створення місії.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Передумови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Ціль має належність «ворожа» і перебуває в черзі; є щонайменше один розрахунок у стані «Готовий».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Основний потік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 Офіцер обирає ціль із черги.</w:t>
            </w:r>
          </w:p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2. Система формує перелік кандидатів (готовність, допуск, ресурс перехоплювача й АКБ, метеоумови) і впорядковує його за прогнозним часом перехоплення.</w:t>
            </w:r>
          </w:p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3. Система виконує UC-05 «Перевірити деконфлікцію» («include»).</w:t>
            </w:r>
          </w:p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4. Офіцер приймає рекомендацію або обирає інший розрахунок.</w:t>
            </w:r>
          </w:p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5. Система створює місію в стані «Запропонована» і передає її на санкціонування.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Альтернативні потоки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2а. Немає жодного кандидата — система пропонує передати ціль суміжному центру.</w:t>
            </w:r>
          </w:p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3а. Деконфлікцію не пройдено — призначення заблоковано з поясненням причини.</w:t>
            </w:r>
          </w:p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Розрахунок не підтвердив завдання за 15 с — виконується UC-06 «Обрати резервний розрахунок» («extend»).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Постумови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Місія створена й очікує санкціонування; дію записано в журнал аудиту.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Вимоги</w:t>
            </w:r>
          </w:p>
        </w:tc>
        <w:tc>
          <w:tcPr>
            <w:tcW w:type="dxa" w:w="725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FR-07, FR-08, FR-09, FR-20</w:t>
            </w:r>
          </w:p>
        </w:tc>
      </w:tr>
    </w:tbl>
    <w:p>
      <w:pPr>
        <w:keepNext/>
        <w:pageBreakBefore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1.12 — Специфікація варіанта використання «UC-07 Санкціонувати пуск»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rPr>
          <w:tblHeader w:val="true"/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Елемент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Зміст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Актори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Оперативний черговий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Короткий опис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Людське рішення на пуск перехоплювача за запропонованою місією.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Передумови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Місія має стан «Запропонована»; оперативний черговий автентифікований (2FA).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Основний потік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 Система показує місію, ціль, обраний розрахунок і прогнозну точку перехоплення.</w:t>
            </w:r>
          </w:p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2. Оперативний черговий перевіряє обстановку і підтверджує санкцію.</w:t>
            </w:r>
          </w:p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3. Система переводить місію в стан «Санкціонована» і надсилає завдання розрахунку.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Альтернативні потоки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1а. Точка перехоплення поблизу зони заборони ураження — діє правило двох осіб: санкціонує особа, відмінна від автора пропозиції.</w:t>
            </w:r>
          </w:p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2а. Оперативний черговий відхиляє місію — стан «Відхилена», ціль повертається в чергу.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Постумови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Завдання надіслано розрахунку або місію відхилено; рішення зафіксовано в журналі аудиту.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Вимоги</w:t>
            </w:r>
          </w:p>
        </w:tc>
        <w:tc>
          <w:tcPr>
            <w:tcW w:type="dxa" w:w="725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FR-10, FR-11, FR-20, NFR-16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1.13 — Специфікація варіанта використання «UC-08 Прийняти бойове завдання»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rPr>
          <w:tblHeader w:val="true"/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Елемент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Зміст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Актори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Командир розрахунку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Короткий опис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Прийняття розрахунком бойового завдання на планшеті.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Передумови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Місія санкціонована; планшет розрахунку з’єднаний із периферійним шлюзом.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Основний потік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 Система доставляє завдання з даними цілевказання на планшет (≤ 1 с).</w:t>
            </w:r>
          </w:p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2. Командир переглядає завдання і підтверджує прийняття.</w:t>
            </w:r>
          </w:p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3. Система фіксує час підтвердження і переводить розрахунок у стан «Призначений».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Альтернативні потоки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2а. Технічна несправність — командир відхиляє завдання із зазначенням причини; система пропонує наступного кандидата.</w:t>
            </w:r>
          </w:p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2б. Немає відповіді 15 с — автоматична ескалація (UC-06).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Постумови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Завдання прийнято або перепризначено; оперативний черговий бачить актуальний стан.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Вимоги</w:t>
            </w:r>
          </w:p>
        </w:tc>
        <w:tc>
          <w:tcPr>
            <w:tcW w:type="dxa" w:w="725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FR-11, FR-16, NFR-02</w:t>
            </w:r>
          </w:p>
        </w:tc>
      </w:tr>
    </w:tbl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19" w:name="_Toc000019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 СПЕЦИФІКАЦІЯ СИСТЕМНИХ ВИМОГ IOT-ПЛАТФОРМИ «ЩИТ-ЛІНК»</w:t>
      </w:r>
      <w:bookmarkEnd w:id="19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Специфікацію складено за структурою SRS із теоретичного матеріалу практичної роботи [1] (підрозділ 2.3). Розділи 5.1–5.10 відповідають розділам 1–10 цієї структури.</w:t>
      </w: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20" w:name="_Toc000020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5.1. Вступ</w:t>
      </w:r>
      <w:bookmarkEnd w:id="20"/>
    </w:p>
    <w:p>
      <w:pPr>
        <w:pStyle w:val="829"/>
        <w:keepNext/>
        <w:pageBreakBefore w:val="0"/>
        <w:widowControl/>
        <w:spacing w:line="360" w:lineRule="auto" w:before="12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/>
          <w:color w:val="000000"/>
          <w:sz w:val="28"/>
        </w:rPr>
        <w:t>5.1.1. Мета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Документ визначає функціональні, системні та нефункціональні вимоги до IoT-платформи «Щит-Лінк» версії 1.0. Цільова аудиторія: замовник (командування центру), майбутні користувачі, бізнес-аналітик, архітектор, розробники, тестувальники та фахівці із захисту інформації. Документ є основою для проєктування (практичні роботи 2 і 4), планування інкрементів і розроблення тестів.</w:t>
      </w:r>
    </w:p>
    <w:p>
      <w:pPr>
        <w:pStyle w:val="829"/>
        <w:keepNext/>
        <w:pageBreakBefore w:val="0"/>
        <w:widowControl/>
        <w:spacing w:line="360" w:lineRule="auto" w:before="12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/>
          <w:color w:val="000000"/>
          <w:sz w:val="28"/>
        </w:rPr>
        <w:t>5.1.2. Сфера застосування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Система охоплює: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реєстрацію сенсорних вузлів і шлюзів; прийом і нормалізацію виявлень і телеметрії; злиття треків і повітряну обстановку; підтримку класифікації та оцінки загрози; деконфлікцію; призначення розрахунків, санкціонування пуску й доставку завдань; супровід місій; фіксацію результатів і звіти; облік готовності, обслуговування й запасів; сповіщення; аналітику KPI; інтеграцію із зовнішніми системами; управління доступом і аудит.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Система не охоплює: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автопілоти та прошивки дронів (взаємодія лише через протокол телеметрії), алгоритми наведення, засоби радіоелектронної боротьби, національні системи ситуаційної обізнаності та оповіщення населення (лише інтеграція з ними), складський облік матеріально-технічних засобів поза перехоплювачами й АКБ.</w:t>
      </w:r>
    </w:p>
    <w:p>
      <w:pPr>
        <w:pStyle w:val="829"/>
        <w:keepNext/>
        <w:pageBreakBefore w:val="0"/>
        <w:widowControl/>
        <w:spacing w:line="360" w:lineRule="auto" w:before="12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/>
          <w:color w:val="000000"/>
          <w:sz w:val="28"/>
        </w:rPr>
        <w:t>5.1.3. Визначення, акроніми та скорочення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1.14 — Визначення, акроніми та скорочення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rPr>
          <w:tblHeader w:val="true"/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Термін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Визначення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АКБ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Акумуляторна батарея перехоплювача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АРМ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Автоматизоване робоче місце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Деконфлікція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Перевірка відсутності конфлікту з дружньою авіацією та зонами заборони ураження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КП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Командний пункт центру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КСЗІ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Комплексна система захисту інформації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Місія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Бойове завдання розрахунку на перехоплення конкретної цілі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НСУ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Наземна станція управління розрахунку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Периферійний шлюз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Обчислювальний вузол на позиції, що агрегує дані сенсорів і НСУ та працює автономно при втраті зв’язку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Повітряний трек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Сукупність виявлень, що належать одній повітряній цілі, з її кінематикою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Розрахунок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Група з 2–4 осіб, що обслуговує перехоплювачі на позиції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Цілевказання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Передавання розрахунку даних про ціль для виконання місії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2FA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Двофакторна автентифікація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KPI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Ключовий показник ефективності (Key Performance Indicator)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RBAC</w:t>
            </w:r>
          </w:p>
        </w:tc>
        <w:tc>
          <w:tcPr>
            <w:tcW w:type="dxa" w:w="72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Рольове управління доступом (Role-Based Access Control)</w:t>
            </w:r>
          </w:p>
        </w:tc>
      </w:tr>
      <w:tr>
        <w:trPr>
          <w:cantSplit w:val="true"/>
        </w:trPr>
        <w:tc>
          <w:tcPr>
            <w:tcW w:type="dxa" w:w="210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SRS</w:t>
            </w:r>
          </w:p>
        </w:tc>
        <w:tc>
          <w:tcPr>
            <w:tcW w:type="dxa" w:w="725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Специфікація вимог до програмного забезпечення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pStyle w:val="829"/>
        <w:keepNext/>
        <w:pageBreakBefore w:val="0"/>
        <w:widowControl/>
        <w:spacing w:line="360" w:lineRule="auto" w:before="12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/>
          <w:color w:val="000000"/>
          <w:sz w:val="28"/>
        </w:rPr>
        <w:t>5.1.4. Посилання та огляд документа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Документ ґрунтується на лекціях дисципліни [2; 5; 6], теоретичному матеріалі практичної роботи [1], посібниках [3; 4; 9; 10] і стандарті якості ISO/IEC 25010 [8]; оформлення — за ДСТУ 3008:2015 [11]. Розділ 5.2 пояснює причини створення системи, 5.3 — бізнес-контекст, 5.4 — ієрархію функціональних і системних вимог, 5.5 — випадки використання, 5.6–5.7 — технічні вимоги та системні якості, 5.8 — обмеження й припущення, 5.9 — критерії прийняття, 5.10 — додатки.</w:t>
      </w: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21" w:name="_Toc000021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5.2. Драйвери бізнесу</w:t>
      </w:r>
      <w:bookmarkEnd w:id="21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Потреба в системі зумовлена проблемами поточного (ручного) способу роботи центру та можливостями, які дає автоматизація (табл. 1.15). Головна бізнес-мета — скоротити цикл «виявлення — рішення — перехоплення» з хвилин до десятків секунд за збереження людського контролю над кожним пуском.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1.15 — Драйвери бізнесу: проблеми та можливості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Проблема поточного стану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Наслідок</w:t>
            </w:r>
          </w:p>
        </w:tc>
        <w:tc>
          <w:tcPr>
            <w:tcW w:type="dxa" w:w="36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Можливість нової системи</w:t>
            </w:r>
          </w:p>
        </w:tc>
      </w:tr>
      <w:tr>
        <w:trPr>
          <w:cantSplit w:val="true"/>
        </w:trPr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Виявлення надходять різними каналами (радіо, месенджери, окремі програми)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Дублі й суперечливі треки, втрачені секунди</w:t>
            </w:r>
          </w:p>
        </w:tc>
        <w:tc>
          <w:tcPr>
            <w:tcW w:type="dxa" w:w="36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Єдиний прийом через шлюзи та злиття треків (FR-02, FR-04)</w:t>
            </w:r>
          </w:p>
        </w:tc>
      </w:tr>
      <w:tr>
        <w:trPr>
          <w:cantSplit w:val="true"/>
        </w:trPr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Голосове цілевказання розрахункам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Затримка 30–90 с, помилки сприйняття</w:t>
            </w:r>
          </w:p>
        </w:tc>
        <w:tc>
          <w:tcPr>
            <w:tcW w:type="dxa" w:w="36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Цифрове завдання на планшет ≤ 1 с (FR-11, NFR-02)</w:t>
            </w:r>
          </w:p>
        </w:tc>
      </w:tr>
      <w:tr>
        <w:trPr>
          <w:cantSplit w:val="true"/>
        </w:trPr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Немає актуальної картини готовності розрахунків і перехоплювачів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Призначення не того розрахунку, простій резерву</w:t>
            </w:r>
          </w:p>
        </w:tc>
        <w:tc>
          <w:tcPr>
            <w:tcW w:type="dxa" w:w="36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Облік готовності в реальному часі (FR-08, FR-14)</w:t>
            </w:r>
          </w:p>
        </w:tc>
      </w:tr>
      <w:tr>
        <w:trPr>
          <w:cantSplit w:val="true"/>
        </w:trPr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Телеметрія не зберігається централізовано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Неможливий аналіз місій</w:t>
            </w:r>
          </w:p>
        </w:tc>
        <w:tc>
          <w:tcPr>
            <w:tcW w:type="dxa" w:w="36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Архів телеметрії, відтворення місій (FR-12, FR-17)</w:t>
            </w:r>
          </w:p>
        </w:tc>
      </w:tr>
      <w:tr>
        <w:trPr>
          <w:cantSplit w:val="true"/>
        </w:trPr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Ризик ураження дружньої авіації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Загроза людям і техніці</w:t>
            </w:r>
          </w:p>
        </w:tc>
        <w:tc>
          <w:tcPr>
            <w:tcW w:type="dxa" w:w="36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Обов’язкова деконфлікція та санкція людини (FR-07, FR-10, NFR-16)</w:t>
            </w:r>
          </w:p>
        </w:tc>
      </w:tr>
      <w:tr>
        <w:trPr>
          <w:cantSplit w:val="true"/>
        </w:trPr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Подавлення зв’язку засобами РЕБ</w:t>
            </w:r>
          </w:p>
        </w:tc>
        <w:tc>
          <w:tcPr>
            <w:tcW w:type="dxa" w:w="245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Втрата обстановки на позиції</w:t>
            </w:r>
          </w:p>
        </w:tc>
        <w:tc>
          <w:tcPr>
            <w:tcW w:type="dxa" w:w="36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Автономність шлюзу ≥ 4 год (FR-03, NFR-06)</w:t>
            </w:r>
          </w:p>
        </w:tc>
      </w:tr>
      <w:tr>
        <w:trPr>
          <w:cantSplit w:val="true"/>
        </w:trPr>
        <w:tc>
          <w:tcPr>
            <w:tcW w:type="dxa" w:w="327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Паперова звітність про результати й витрату</w:t>
            </w:r>
          </w:p>
        </w:tc>
        <w:tc>
          <w:tcPr>
            <w:tcW w:type="dxa" w:w="2456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Повільне поповнення, спірні результати</w:t>
            </w:r>
          </w:p>
        </w:tc>
        <w:tc>
          <w:tcPr>
            <w:tcW w:type="dxa" w:w="362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Автоматичні звіти та облік витрати (FR-13, FR-15)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22" w:name="_Toc000022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5.3. Бізнес-модель</w:t>
      </w:r>
      <w:bookmarkEnd w:id="22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Система підтримує бізнес-модель цілодобового бойового чергування центру. Ключові бізнес-процеси та функціональні вимоги, якими система їх підтримує, наведено в табл. 1.16. Межі системи та її інформаційні зв’язки з користувачами й зовнішніми системами показано на контекстній схемі (рис. 1.7).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1.16 — Бізнес-процеси центру та їх підтримка системою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Код</w:t>
            </w:r>
          </w:p>
        </w:tc>
        <w:tc>
          <w:tcPr>
            <w:tcW w:type="dxa" w:w="561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Бізнес-процес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Підтримка (FR)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BP-01</w:t>
            </w:r>
          </w:p>
        </w:tc>
        <w:tc>
          <w:tcPr>
            <w:tcW w:type="dxa" w:w="561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Реєстрація та контроль стану сенсорних вузлів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FR-01, FR-16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BP-02</w:t>
            </w:r>
          </w:p>
        </w:tc>
        <w:tc>
          <w:tcPr>
            <w:tcW w:type="dxa" w:w="561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Прийом і нормалізація телеметрії та виявлень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FR-02, FR-03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BP-03</w:t>
            </w:r>
          </w:p>
        </w:tc>
        <w:tc>
          <w:tcPr>
            <w:tcW w:type="dxa" w:w="561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Злиття виявлень і формування треків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FR-04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BP-04</w:t>
            </w:r>
          </w:p>
        </w:tc>
        <w:tc>
          <w:tcPr>
            <w:tcW w:type="dxa" w:w="561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Класифікація та оцінка загрози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FR-05, FR-06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BP-05</w:t>
            </w:r>
          </w:p>
        </w:tc>
        <w:tc>
          <w:tcPr>
            <w:tcW w:type="dxa" w:w="561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Підбір і призначення розрахунку, санкціонування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FR-08…FR-11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BP-06</w:t>
            </w:r>
          </w:p>
        </w:tc>
        <w:tc>
          <w:tcPr>
            <w:tcW w:type="dxa" w:w="561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Виконання та супровід місії перехоплення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FR-12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BP-07</w:t>
            </w:r>
          </w:p>
        </w:tc>
        <w:tc>
          <w:tcPr>
            <w:tcW w:type="dxa" w:w="561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Оцінка результату та звітність про перехоплення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FR-13, FR-18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BP-08</w:t>
            </w:r>
          </w:p>
        </w:tc>
        <w:tc>
          <w:tcPr>
            <w:tcW w:type="dxa" w:w="561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Облік готовності, обслуговування та логістика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FR-14, FR-15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BP-09</w:t>
            </w:r>
          </w:p>
        </w:tc>
        <w:tc>
          <w:tcPr>
            <w:tcW w:type="dxa" w:w="561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Деконфлікція повітряного простору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FR-07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BP-10</w:t>
            </w:r>
          </w:p>
        </w:tc>
        <w:tc>
          <w:tcPr>
            <w:tcW w:type="dxa" w:w="561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Робота в деградованому режимі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FR-03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BP-11</w:t>
            </w:r>
          </w:p>
        </w:tc>
        <w:tc>
          <w:tcPr>
            <w:tcW w:type="dxa" w:w="561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Аналітика та звітність</w:t>
            </w:r>
          </w:p>
        </w:tc>
        <w:tc>
          <w:tcPr>
            <w:tcW w:type="dxa" w:w="268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FR-17, FR-21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BP-12</w:t>
            </w:r>
          </w:p>
        </w:tc>
        <w:tc>
          <w:tcPr>
            <w:tcW w:type="dxa" w:w="5613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Управління доступом і кібербезпека</w:t>
            </w:r>
          </w:p>
        </w:tc>
        <w:tc>
          <w:tcPr>
            <w:tcW w:type="dxa" w:w="268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FR-19, FR-20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sectPr>
          <w:footnotePr/>
          <w:endnotePr/>
          <w:pgSz w:h="16838" w:w="11906"/>
          <w:pgMar w:top="1134" w:right="850" w:bottom="1134" w:left="1701" w:header="709" w:footer="709" w:gutter="0"/>
          <w:cols w:num="1" w:sep="0" w:space="708" w:equalWidth="1"/>
        </w:sectPr>
      </w:pP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7948799" cy="521760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ntex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948799" cy="5217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1.7 — Контекстна схема IoT-платформи «Щит-Лінк»</w:t>
      </w:r>
    </w:p>
    <w:p>
      <w:pPr>
        <w:sectPr>
          <w:footnotePr/>
          <w:endnotePr/>
          <w:pgSz w:h="11906" w:w="16838" w:orient="landscape"/>
          <w:pgMar w:top="1701" w:right="1134" w:bottom="850" w:left="1134" w:header="709" w:footer="709" w:gutter="0"/>
          <w:cols w:num="1" w:sep="0" w:space="708" w:equalWidth="1"/>
        </w:sectPr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Вхідні потоки системи — виявлення й стан сенсорних вузлів, телеметрія перехоплювачів, плани польотів дружньої авіації, метеодані; вихідні — цілевказання і бойові завдання розрахункам, сповіщення про загрозу, донесення до національної системи; двобічний обмін ведеться з персоналом КП (обстановка, рішення, санкції), розрахунками, службами забезпечення та національною системою.</w:t>
      </w: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23" w:name="_Toc000023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5.4. Функціональні та системні вимоги</w:t>
      </w:r>
      <w:bookmarkEnd w:id="23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Відповідно до структури SRS [1] функціональні вимоги верхнього рівня (табл. 1.5) деталізовано до 30 системних вимог, що описують дані, реакції та поведінку системи. Системні вимоги згруповано за чотирма підсистемами (табл. 1.17–1.20); код SR-x.y однозначно ідентифікує вимогу, а стовпець «FR» забезпечує трасування до вимоги верхнього рівня.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1.17 — Системні вимоги підсистеми «Збір даних і повітряна обстановка»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Код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Системна вимога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FR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SR-1.1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Шлюз приймає повідомлення MQTT 5 від акустичних вузлів і ASTERIX CAT048/062 від РЛС; повідомлення від джерела без чинного сертифіката X.509 відхиляється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FR-01, FR-02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SR-1.2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Кожне повідомлення перевіряється за схемою і часовою міткою (розбіжність ≤ 200 мс) та перетворюється в канонічну модель (WGS-84, UTC, одиниці СІ)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FR-02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SR-1.3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Повідомлення, старші за 10 с, позначаються як запізнілі й не беруть участі в оперативному злитті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FR-02, FR-04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SR-1.4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Вузол, що пропустив 3 контрольні сигнали, переходить у стан «Деградований», 10 — «Поза мережею» зі сповіщенням технікові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FR-01, FR-16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SR-1.5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 відсутності зв’язку з ядром шлюз буферизує дані до 4 год і передає їх після відновлення з первинними мітками часу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FR-03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SR-1.6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Трек стає «Підтвердженим» після ≥ 3 узгоджених оновлень від ≥ 2 типів сенсорів; трек без оновлень 60 с отримує стан «Втрачений»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FR-04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SR-1.7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Оновлення треків доставляються на АРМ через WebSocket у вигляді приростів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FR-04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SR-1.8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Належність «ворожа» зберігається лише після підтвердження аналітиком; підказка класифікатора відображається з рівнем достовірності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FR-05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SR-1.9</w:t>
            </w:r>
          </w:p>
        </w:tc>
        <w:tc>
          <w:tcPr>
            <w:tcW w:type="dxa" w:w="678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Пріоритет цілі обчислюється за часом підльоту, категорією об’єкта прикриття (I–III) і типом цілі</w:t>
            </w:r>
          </w:p>
        </w:tc>
        <w:tc>
          <w:tcPr>
            <w:tcW w:type="dxa" w:w="152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FR-06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1.18 — Системні вимоги підсистеми «Бойове управління»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Код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Системна вимога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FR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SR-2.1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 переліку кандидатів потрапляють лише розрахунки в стані «Готовий» із чинним допуском, справним перехоплювачем, зарядом АКБ не нижче порогу і метеоумовами в межах обмежень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FR-08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SR-2.2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Трек, що корелює з планом польоту дружньої авіації, блокується для призначення; точка перехоплення в зоні заборони ураження не допускається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FR-07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SR-2.3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Місія створюється в стані «Запропонована» з фіксацією автора і часу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FR-09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SR-2.4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Санкціонування виконує оперативний черговий; поблизу зони заборони ураження діє правило двох осіб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FR-10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SR-2.5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Завдання доставляється на планшет за ≤ 1 с; відсутність підтвердження протягом 15 с ініціює ескалацію до наступного кандидата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FR-11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SR-2.6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Телеметрія перехоплювача (≥ 5 Гц) і трек цілі відображаються разом; оновлення цілі передаються на НСУ з частотою ≥ 1 Гц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FR-12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SR-2.7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Скасування місії доступне до її закриття; скасування обов’язкове, якщо ціль перекласифіковано як дружню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FR-12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SR-2.8</w:t>
            </w:r>
          </w:p>
        </w:tc>
        <w:tc>
          <w:tcPr>
            <w:tcW w:type="dxa" w:w="678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Закриття місії вимагає результату (влучання, промах, скасовано, втрачено) з прикріпленими телеметрією і відео</w:t>
            </w:r>
          </w:p>
        </w:tc>
        <w:tc>
          <w:tcPr>
            <w:tcW w:type="dxa" w:w="152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FR-13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1.19 — Системні вимоги підсистеми «Ресурси, аналітика та інтеграція»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Код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Системна вимога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FR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SR-3.1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Перехоплювач із відкритим дефектом не може мати стан «Готовий»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FR-14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SR-3.2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АКБ пропонується до списання після 300 циклів або при ємності &lt; 80 %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FR-14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SR-3.3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Залишок нижче мінімуму (дві ночі × середня витрата) формує сповіщення і чернетку заявки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FR-15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SR-3.4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Сповіщення мають рівні «інформаційне», «попередження», «критичне»; непідтверджене критичне сповіщення ескалюється через 30 с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FR-16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SR-3.5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Звіт про перехоплення надсилається вищому органу управління ≤ 15 хв; результат «підтверджено» — лише за ≥ 2 незалежних доказів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FR-13, FR-18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SR-3.6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Панель KPI показує час «виявлення — призначення», «призначення — пуск», частку успішних перехоплень, доступність сенсорів, частку хибних тривог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FR-17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SR-3.7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Обмін із національною системою — Cursor-on-Target або REST API; плани польотів імпортуються не рідше одного разу на хвилину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FR-18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SR-3.8</w:t>
            </w:r>
          </w:p>
        </w:tc>
        <w:tc>
          <w:tcPr>
            <w:tcW w:type="dxa" w:w="678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Звіти експортуються у PDF і XLSX із збереженням структури таблиць</w:t>
            </w:r>
          </w:p>
        </w:tc>
        <w:tc>
          <w:tcPr>
            <w:tcW w:type="dxa" w:w="152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FR-21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1.20 — Системні вимоги підсистеми «Безпека та адміністрування»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Код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Системна вимога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FR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SR-4.1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Вхід через OIDC з обов’язковою двофакторною автентифікацією; сеанс АРМ блокується після 15 хв бездіяльності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FR-19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SR-4.2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Права надаються за ролями (RBAC) з обмеженням за сектором; адміністратор не має бойових прав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FR-19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SR-4.3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Зміна ролі користувача набирає чинності після затвердження начальником центру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FR-19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SR-4.4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Кожна команда, класифікація, санкція і вхід записуються в журнал аудиту з ланцюжком хешів; записи не редагуються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FR-20</w:t>
            </w:r>
          </w:p>
        </w:tc>
      </w:tr>
      <w:tr>
        <w:trPr>
          <w:cantSplit w:val="true"/>
        </w:trPr>
        <w:tc>
          <w:tcPr>
            <w:tcW w:type="dxa" w:w="105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SR-4.5</w:t>
            </w:r>
          </w:p>
        </w:tc>
        <w:tc>
          <w:tcPr>
            <w:tcW w:type="dxa" w:w="678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Журнал аудиту зберігається ≥ 3 роки; офіцер кібербезпеки має доступ лише для читання</w:t>
            </w:r>
          </w:p>
        </w:tc>
        <w:tc>
          <w:tcPr>
            <w:tcW w:type="dxa" w:w="152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FR-20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24" w:name="_Toc000024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5.5. Випадки використання системи</w:t>
      </w:r>
      <w:bookmarkEnd w:id="24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Поведінку системи з погляду користувачів описано 23 варіантами використання для 14 акторів (підрозділ 4.5, рис. 1.5, 1.6, табл. 1.9). Специфікації ключових прецедентів наведено в підрозділі 4.6. Кожен варіант використання трасується до функціональних вимог, а через них — до системних вимог розділу 5.4 і критеріїв прийняття розділу 5.9.</w:t>
      </w: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25" w:name="_Toc000025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5.6. Технічні вимоги</w:t>
      </w:r>
      <w:bookmarkEnd w:id="25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Технічні вимоги визначають середовище функціонування: обладнання (табл. 1.21), програмне забезпечення (табл. 1.22), мережу та протоколи інтеграції (табл. 1.23). Показники продуктивності встановлено вимогами NFR-01…NFR-04 (табл. 1.6).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1.21 — Вимоги до обладнання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Вузол</w:t>
            </w:r>
          </w:p>
        </w:tc>
        <w:tc>
          <w:tcPr>
            <w:tcW w:type="dxa" w:w="561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Мінімальні вимоги</w:t>
            </w:r>
          </w:p>
        </w:tc>
        <w:tc>
          <w:tcPr>
            <w:tcW w:type="dxa" w:w="140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Кількість</w:t>
            </w:r>
          </w:p>
        </w:tc>
      </w:tr>
      <w:tr>
        <w:trPr>
          <w:cantSplit w:val="true"/>
        </w:trPr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Сервер ядра (2 майданчики, активний і резервний)</w:t>
            </w:r>
          </w:p>
        </w:tc>
        <w:tc>
          <w:tcPr>
            <w:tcW w:type="dxa" w:w="561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 × CPU 16 ядер, 128 ГБ ОЗП, NVMe 4 ТБ (RAID 10), 2 × 10 Гбіт/с</w:t>
            </w:r>
          </w:p>
        </w:tc>
        <w:tc>
          <w:tcPr>
            <w:tcW w:type="dxa" w:w="140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 (2 + 2)</w:t>
            </w:r>
          </w:p>
        </w:tc>
      </w:tr>
      <w:tr>
        <w:trPr>
          <w:cantSplit w:val="true"/>
        </w:trPr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Периферійний шлюз позиції</w:t>
            </w:r>
          </w:p>
        </w:tc>
        <w:tc>
          <w:tcPr>
            <w:tcW w:type="dxa" w:w="561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Захищений промисловий ПК: CPU 8 ядер, 16 ГБ ОЗП, SSD 512 ГБ, живлення від АКБ ≥ 4 год, модулі mesh-радіо / LTE / супутникового зв’язку</w:t>
            </w:r>
          </w:p>
        </w:tc>
        <w:tc>
          <w:tcPr>
            <w:tcW w:type="dxa" w:w="140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 + 2 резерв</w:t>
            </w:r>
          </w:p>
        </w:tc>
      </w:tr>
      <w:tr>
        <w:trPr>
          <w:cantSplit w:val="true"/>
        </w:trPr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АРМ командного пункту</w:t>
            </w:r>
          </w:p>
        </w:tc>
        <w:tc>
          <w:tcPr>
            <w:tcW w:type="dxa" w:w="561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CPU 6 ядер, 16 ГБ ОЗП, 2 монітори ≥ 27″</w:t>
            </w:r>
          </w:p>
        </w:tc>
        <w:tc>
          <w:tcPr>
            <w:tcW w:type="dxa" w:w="140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</w:t>
            </w:r>
          </w:p>
        </w:tc>
      </w:tr>
      <w:tr>
        <w:trPr>
          <w:cantSplit w:val="true"/>
        </w:trPr>
        <w:tc>
          <w:tcPr>
            <w:tcW w:type="dxa" w:w="233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Планшет розрахунку</w:t>
            </w:r>
          </w:p>
        </w:tc>
        <w:tc>
          <w:tcPr>
            <w:tcW w:type="dxa" w:w="5613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Захищений Android-планшет 10″, IP67, яскравість ≥ 800 кд/м²</w:t>
            </w:r>
          </w:p>
        </w:tc>
        <w:tc>
          <w:tcPr>
            <w:tcW w:type="dxa" w:w="1403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18 + 4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1.22 — Вимоги до програмного забезпечення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rPr>
          <w:tblHeader w:val="true"/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Призначення</w:t>
            </w:r>
          </w:p>
        </w:tc>
        <w:tc>
          <w:tcPr>
            <w:tcW w:type="dxa" w:w="643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Програмні засоби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Операційні системи</w:t>
            </w:r>
          </w:p>
        </w:tc>
        <w:tc>
          <w:tcPr>
            <w:tcW w:type="dxa" w:w="643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Linux (ядро, шлюзи, контейнери Docker/Podman); Android 12+ (планшети)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Системи керування базами даних</w:t>
            </w:r>
          </w:p>
        </w:tc>
        <w:tc>
          <w:tcPr>
            <w:tcW w:type="dxa" w:w="643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PostgreSQL 16 з PostGIS (просторові дані); TimescaleDB (телеметрія)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Обмін повідомленнями</w:t>
            </w:r>
          </w:p>
        </w:tc>
        <w:tc>
          <w:tcPr>
            <w:tcW w:type="dxa" w:w="643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Брокер MQTT 5 на шлюзах; шина подій Apache Kafka або NATS JetStream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Ідентифікація і доступ</w:t>
            </w:r>
          </w:p>
        </w:tc>
        <w:tc>
          <w:tcPr>
            <w:tcW w:type="dxa" w:w="643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Keycloak (OIDC, 2FA); інфраструктура відкритих ключів для сертифікатів пристроїв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Клієнтська частина</w:t>
            </w:r>
          </w:p>
        </w:tc>
        <w:tc>
          <w:tcPr>
            <w:tcW w:type="dxa" w:w="643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Веб-застосунок (TypeScript) для Chromium / Firefox; мобільний застосунок Android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Розроблення і DevOps</w:t>
            </w:r>
          </w:p>
        </w:tc>
        <w:tc>
          <w:tcPr>
            <w:tcW w:type="dxa" w:w="6431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Git, CI/CD-конвеєр (GitLab CI або Jenkins), система моніторингу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1.23 — Мережа, протоколи та інтеграція з іншими системами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Зв’язок</w:t>
            </w:r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Протокол / формат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Вимога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Акустичний вузол → шлюз</w:t>
            </w:r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MQTT 5 over TLS, QoS 1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1–5 повідомлень/с на вузол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РЛС → шлюз</w:t>
            </w:r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ASTERIX CAT048 / CAT062 (UDP)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Оновлення 1 Гц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Перехоплювач ↔ НСУ → шлюз</w:t>
            </w:r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MAVLink 2 з підписом повідомлень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Телеметрія ≥ 5 Гц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Шлюз ↔ ядро</w:t>
            </w:r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gRPC / MQTT через VPN (mTLS); mesh-радіо, LTE, супутник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Класи пріоритету: завдання &gt; треки &gt; телеметрія &gt; відео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Ядро ↔ АРМ і планшети</w:t>
            </w:r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WebSocket (прирости), REST/JSON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NFR-01, NFR-02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Ядро ↔ національна система</w:t>
            </w:r>
          </w:p>
        </w:tc>
        <w:tc>
          <w:tcPr>
            <w:tcW w:type="dxa" w:w="3157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Cursor-on-Target (XML), REST API</w:t>
            </w:r>
          </w:p>
        </w:tc>
        <w:tc>
          <w:tcPr>
            <w:tcW w:type="dxa" w:w="327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Звіт ≤ 15 хв (SR-3.5)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26" w:name="_Toc000026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5.7. Системні якості</w:t>
      </w:r>
      <w:bookmarkEnd w:id="26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Системні якості (нефункціональні атрибути) за переліком SRS [1] деталізовано в табл. 1.24: для кожного атрибута вказано вимогу, спосіб забезпечення в архітектурі та метрику перевірки.</w:t>
      </w:r>
    </w:p>
    <w:p>
      <w:pPr>
        <w:keepNext/>
        <w:pageBreakBefore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1.24 — Системні якості IoT-платформи «Щит-Лінк»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Атрибут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Вимога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Спосіб забезпечення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Метрика</w:t>
            </w:r>
          </w:p>
        </w:tc>
      </w:tr>
      <w:tr>
        <w:trPr>
          <w:cantSplit w:val="true"/>
        </w:trPr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Надійність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Функціонування при відмові вузла або каналу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Два майданчики ядра, реплікація потоків, автономні шлюзи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RPO ≤ 5 с; RTO ≤ 60 с</w:t>
            </w:r>
          </w:p>
        </w:tc>
      </w:tr>
      <w:tr>
        <w:trPr>
          <w:cantSplit w:val="true"/>
        </w:trPr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Безпека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Захист даних і авторизований доступ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mTLS, 2FA, RBAC, журнал аудиту з ланцюжком хешів, КСЗІ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 критичних вразливостей</w:t>
            </w:r>
          </w:p>
        </w:tc>
      </w:tr>
      <w:tr>
        <w:trPr>
          <w:cantSplit w:val="true"/>
        </w:trPr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Масштабованість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Зростання кількості сенсорів і користувачів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Горизонтальне масштабування сервісів реального часу, шина подій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×2 навантаження без зміни коду</w:t>
            </w:r>
          </w:p>
        </w:tc>
      </w:tr>
      <w:tr>
        <w:trPr>
          <w:cantSplit w:val="true"/>
        </w:trPr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Ремонтопридатність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Легкість оновлення та виправлення</w:t>
            </w:r>
          </w:p>
        </w:tc>
        <w:tc>
          <w:tcPr>
            <w:tcW w:type="dxa" w:w="28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Модульна архітектура, CI/CD, автоматизовані тести</w:t>
            </w:r>
          </w:p>
        </w:tc>
        <w:tc>
          <w:tcPr>
            <w:tcW w:type="dxa" w:w="187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Оновлення без простою ядра</w:t>
            </w:r>
          </w:p>
        </w:tc>
      </w:tr>
      <w:tr>
        <w:trPr>
          <w:cantSplit w:val="true"/>
        </w:trPr>
        <w:tc>
          <w:tcPr>
            <w:tcW w:type="dxa" w:w="233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Доступність</w:t>
            </w:r>
          </w:p>
        </w:tc>
        <w:tc>
          <w:tcPr>
            <w:tcW w:type="dxa" w:w="233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Цілодобова робота</w:t>
            </w:r>
          </w:p>
        </w:tc>
        <w:tc>
          <w:tcPr>
            <w:tcW w:type="dxa" w:w="2806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Резервування, моніторинг, оновлення без зупинки</w:t>
            </w:r>
          </w:p>
        </w:tc>
        <w:tc>
          <w:tcPr>
            <w:tcW w:type="dxa" w:w="1871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≥ 99,95 % на місяць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27" w:name="_Toc000027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5.8. Обмеження та припущення</w:t>
      </w:r>
      <w:bookmarkEnd w:id="27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Обмеження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, визначені замовником і середовищем: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рішення на пуск ухвалює лише людина — оперативний черговий (NFR-16); система не має функцій автоматичного застосування;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система обробляє службову інформацію і повинна отримати атестат КСЗІ (NFR-15); дані зберігаються лише на власних серверах центру, без публічних хмарних сервісів;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взаємодія з дронами — лише через стандартний протокол телеметрії MAVLink 2, без зміни їх прошивок;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канали зв’язку з позиціями мають обмежену пропускну здатність і можуть бути подавлені засобами РЕБ;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бюджет і строки визначають інкрементну поставку (підрозділ 3.3).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Припущення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команди розробника: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сенсорні вузли та НСУ підтримують протоколи MQTT 5, ASTERIX і MAVLink 2 або мають адаптери;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національна система ситуаційної обізнаності надає документований інтерфейс обміну;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на позиціях доступне електроживлення або резервні АКБ для шлюзів;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користувачі пройдуть навчання роботі з АРМ і планшетом до введення системи в дію;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часова синхронізація вузлів забезпечується приймачами ГНСС із резервним NTP.</w:t>
      </w: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28" w:name="_Toc000028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5.9. Критерії прийняття</w:t>
      </w:r>
      <w:bookmarkEnd w:id="28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Система вважається завершеною і готовою до передавання замовнику після виконання критеріїв табл. 1.25. Методи перевірки відповідають видам тестування лекції [12]: функціональне тестування методом «чорного ящика», нефункціональне (навантажувальне, безпеки, зручності) та приймальне тестування.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1.25 — Критерії прийняття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9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Код</w:t>
            </w:r>
          </w:p>
        </w:tc>
        <w:tc>
          <w:tcPr>
            <w:tcW w:type="dxa" w:w="51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Критерій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Метод перевірки</w:t>
            </w:r>
          </w:p>
        </w:tc>
      </w:tr>
      <w:tr>
        <w:trPr>
          <w:cantSplit w:val="true"/>
        </w:trPr>
        <w:tc>
          <w:tcPr>
            <w:tcW w:type="dxa" w:w="9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AC-01</w:t>
            </w:r>
          </w:p>
        </w:tc>
        <w:tc>
          <w:tcPr>
            <w:tcW w:type="dxa" w:w="51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Усі функціональні вимоги високого пріоритету виконано; тест-кейси для кожного варіанта використання пройдено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Функціональне тестування («чорний ящик»)</w:t>
            </w:r>
          </w:p>
        </w:tc>
      </w:tr>
      <w:tr>
        <w:trPr>
          <w:cantSplit w:val="true"/>
        </w:trPr>
        <w:tc>
          <w:tcPr>
            <w:tcW w:type="dxa" w:w="9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AC-02</w:t>
            </w:r>
          </w:p>
        </w:tc>
        <w:tc>
          <w:tcPr>
            <w:tcW w:type="dxa" w:w="51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Затримка «сенсор — екран» ≤ 2 с і доставка завдання ≤ 1 с при 20 000 повідомлень/с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Навантажувальне тестування</w:t>
            </w:r>
          </w:p>
        </w:tc>
      </w:tr>
      <w:tr>
        <w:trPr>
          <w:cantSplit w:val="true"/>
        </w:trPr>
        <w:tc>
          <w:tcPr>
            <w:tcW w:type="dxa" w:w="9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AC-03</w:t>
            </w:r>
          </w:p>
        </w:tc>
        <w:tc>
          <w:tcPr>
            <w:tcW w:type="dxa" w:w="51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Шлюз працює 4 год без зв’язку з ядром і синхронізує дані після відновлення без втрат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Системне тестування з імітацією відмови</w:t>
            </w:r>
          </w:p>
        </w:tc>
      </w:tr>
      <w:tr>
        <w:trPr>
          <w:cantSplit w:val="true"/>
        </w:trPr>
        <w:tc>
          <w:tcPr>
            <w:tcW w:type="dxa" w:w="9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AC-04</w:t>
            </w:r>
          </w:p>
        </w:tc>
        <w:tc>
          <w:tcPr>
            <w:tcW w:type="dxa" w:w="51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Жоден пуск неможливий без санкції; правило двох осіб діє поблизу зон заборони ураження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Тестування безпеки, сценарні тести</w:t>
            </w:r>
          </w:p>
        </w:tc>
      </w:tr>
      <w:tr>
        <w:trPr>
          <w:cantSplit w:val="true"/>
        </w:trPr>
        <w:tc>
          <w:tcPr>
            <w:tcW w:type="dxa" w:w="9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AC-05</w:t>
            </w:r>
          </w:p>
        </w:tc>
        <w:tc>
          <w:tcPr>
            <w:tcW w:type="dxa" w:w="51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100 % команд і змін станів записано в журнал аудиту; спроба редагування виявляється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Тестування безпеки, аудит журналу</w:t>
            </w:r>
          </w:p>
        </w:tc>
      </w:tr>
      <w:tr>
        <w:trPr>
          <w:cantSplit w:val="true"/>
        </w:trPr>
        <w:tc>
          <w:tcPr>
            <w:tcW w:type="dxa" w:w="9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AC-06</w:t>
            </w:r>
          </w:p>
        </w:tc>
        <w:tc>
          <w:tcPr>
            <w:tcW w:type="dxa" w:w="51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Оператори після 8 год навчання виконують типові сценарії без сторонньої допомоги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Тестування зручності використання</w:t>
            </w:r>
          </w:p>
        </w:tc>
      </w:tr>
      <w:tr>
        <w:trPr>
          <w:cantSplit w:val="true"/>
        </w:trPr>
        <w:tc>
          <w:tcPr>
            <w:tcW w:type="dxa" w:w="93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AC-07</w:t>
            </w:r>
          </w:p>
        </w:tc>
        <w:tc>
          <w:tcPr>
            <w:tcW w:type="dxa" w:w="51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Отримано атестат відповідності КСЗІ; критичних вразливостей не виявлено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Державна експертиза, тестування на проникнення</w:t>
            </w:r>
          </w:p>
        </w:tc>
      </w:tr>
      <w:tr>
        <w:trPr>
          <w:cantSplit w:val="true"/>
        </w:trPr>
        <w:tc>
          <w:tcPr>
            <w:tcW w:type="dxa" w:w="93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AC-08</w:t>
            </w:r>
          </w:p>
        </w:tc>
        <w:tc>
          <w:tcPr>
            <w:tcW w:type="dxa" w:w="514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Замовник підписав акт приймання за результатами дослідної експлуатації</w:t>
            </w:r>
          </w:p>
        </w:tc>
        <w:tc>
          <w:tcPr>
            <w:tcW w:type="dxa" w:w="327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Приймальне тестування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29" w:name="_Toc000029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5.10. Додатки</w:t>
      </w:r>
      <w:bookmarkEnd w:id="29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До специфікації належать: концептуальна модель даних (рис. 1.3, 1.4, табл. 1.2); перелік визначень і скорочень (табл. 1.14); діаграми та специфікації варіантів використання (підрозділи 4.5–4.6). Детальні робочі процеси (BPMN, UML-діаграми діяльності й послідовності) та архітектура IoT-рішення будуть розроблені в практичних роботах 2 і 4.</w:t>
      </w: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30" w:name="_Toc000030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ВИСНОВКИ</w:t>
      </w:r>
      <w:bookmarkEnd w:id="30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 практичній роботі вивчено методи збору, аналізу та документування вимог до програмного забезпечення та застосовано їх до власного програмного продукту з використанням інтернету речей — IoT-платформи «Щит-Лінк» умовного РЦПДО «Щит-Північ».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1) Обрано тему «Розподілена IoT-система цілевказівки та координації дронів для перехоплення повітряних цілей». Продукт поєднує веб-орієнтовану систему, мобільний застосунок і додаток периферійного шлюзу; IoT-складова — машинна взаємодія сенсорів, шлюзів і наземних станцій управління з ядром. Спроєктовано базу даних з 11 зв’язаних таблиць із планом тестового наповнення. Обґрунтовано комбіновану модель життєвого циклу: інкрементна розробка з V-моделлю в кожному інкременті та випуском і супроводом за моделлю DevOps.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2) Для 8 груп зацікавлених сторін визначено методи збору вимог (інтерв’ю, опитування, наради, спостереження, аналіз документів). Зібрано 22 функціональні вимоги (високий пріоритет — 14) і 16 нефункціональних вимог із вимірюваними критеріями; під час аналізу виявлено й розв’язано 5 конфліктів і випадків дублювання.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3) Побудовано дві діаграми варіантів використання (23 прецеденти, 14 акторів, відношення «include», «extend» і узагальнення акторів) і специфікації чотирьох ключових прецедентів.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4) Складено специфікацію системних вимог за десятирозділовою структурою SRS: драйвери бізнесу, бізнес-модель із контекстною схемою, 30 системних вимог із трасуванням до функціональних, технічні вимоги, системні якості, обмеження, припущення та вісім критеріїв прийняття.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Отримана SRS забезпечує наскрізне трасування вимог і є вихідним документом для практичних робіт 2 і 4.</w:t>
      </w: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31" w:name="_Toc000031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СПИСОК ВИКОРИСТАНИХ ДЖЕРЕЛ</w:t>
      </w:r>
      <w:bookmarkEnd w:id="31"/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 Практична робота 1. Збір та документування вимог для програмного продукту : завдання та теоретичний матеріал з дисципліни «Технології створення програмних продуктів». Київ : КНУ імені Тараса Шевченка, 2026. 6 с.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 Життєвий цикл та моделі життєвого циклу програмного продукту : лекція 1 з дисципліни «Технології створення програмних продуктів» / викл. О. В. Кравченко. Київ : КНУ імені Тараса Шевченка, 2026. 40 слайдів.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 Гнатовська Г. А. Конспект лекцій з дисципліни «Технологія створення програмних продуктів». Одеса : ОДЕКУ, 2015. 96 с.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 Дегтярьова Л. М., Гроза П. М., Сомов С. В. Навчальний посібник з дисципліни «Технології розробки програмного забезпечення». Полтава : ПолтНТУ, 2017. 218 с.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5. Вимоги до програмного забезпечення: збір, аналіз, управління : лекція 2 з дисципліни «Технології створення програмних продуктів» / викл. О. В. Кравченко. Київ : КНУ імені Тараса Шевченка, 2026. 9 слайдів.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6. Технологія RUP : лекція 8 з дисципліни «Технології створення програмних продуктів» / викл. О. В. Кравченко. Київ : КНУ імені Тараса Шевченка, 2026. 46 слайдів.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7. Розробка UML-моделі інформаційної системи «Овочева база» : приклад опису діаграм курсової роботи. Київ, 2020. 18 с.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8. ISO/IEC 25010:2023. Systems and software engineering — Systems and software Quality Requirements and Evaluation (SQuaRE) — Product quality model. 2nd ed. Geneva : ISO, 2023.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9. Алексенко О. В. Технології програмування та створення програмних продуктів : конспект лекцій. Суми : СумДУ, 2013. 133 с.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10. Карпенко М. Ю., Манакова Н. О., Гавриленко І. О. Технології створення програмних продуктів та інформаційних систем : навч. посібник. Харків : ХНУМГ ім. О. М. Бекетова, 2017. 93 с.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11. ДСТУ 3008:2015. Інформація та документація. Звіти у сфері науки і техніки. Структура та правила оформлювання. Київ : ДП «УкрНДНЦ», 2016. 26 с.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12. Тестування програмних продуктів : лекція 6 з дисципліни «Технології створення програмних продуктів» / викл. О. В. Кравченко. Київ : КНУ імені Тараса Шевченка, 2026. 24 слайди.</w:t>
      </w:r>
    </w:p>
    <w:sectPr>
      <w:footnotePr/>
      <w:endnotePr/>
      <w:pgSz w:h="16838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widowControl/>
      <w:spacing w:line="240" w:lineRule="auto" w:before="0" w:after="0"/>
      <w:ind w:firstLine="0" w:left="0"/>
      <w:jc w:val="center"/>
    </w:pPr>
    <w:r>
      <w:rPr>
        <w:rFonts w:ascii="Times New Roman" w:hAnsi="Times New Roman" w:cs="Times New Roman" w:eastAsia="Times New Roman"/>
        <w:color w:val="000000"/>
        <w:sz w:val="24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  <w:rPr>
      <w:rFonts w:ascii="Times New Roman" w:hAnsi="Times New Roman" w:cs="Times New Roman" w:eastAsia="Times New Roman"/>
      <w:color w:val="000000"/>
      <w:sz w:val="28"/>
      <w:szCs w:val="28"/>
    </w:r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  <w:rPr>
      <w:rFonts w:ascii="Times New Roman" w:hAnsi="Times New Roman" w:cs="Times New Roman" w:eastAsia="Times New Roman"/>
      <w:color w:val="000000"/>
      <w:sz w:val="28"/>
      <w:szCs w:val="28"/>
    </w:r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header" Target="head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Петро Кравченко</dc:creator>
  <cp:revision>3</cp:revision>
  <dcterms:modified xsi:type="dcterms:W3CDTF">2026-10-04T07:49:39Z</dcterms:modified>
  <dc:title>Практична робота №1. Збір та документування вимог для програмного продукту</dc:title>
  <dc:subject>Технології створення програмних продуктів</dc:subject>
  <dc:language>uk-UA</dc:language>
</cp:coreProperties>
</file>