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ПР 1 · Збір та документування вимог для програмного продукту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Специфікація системних вимог (SRS)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SRS за структурою завдання: 10 розділів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5; табл. 1.14–1.25; рис. 1.7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ПР1_Кравченко_ІР-31.docx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Підсумковий документ вимог, з яким далі працюють архітектор, розробники й тестувальники.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Розділ 5 — повна специфікація системних вимог за структурою з теоретичної частини завдання: 10 розділів від вступу до додатків. Підрозділи 5.1–5.10 звіту відповідають розділам 1–10 цієї структури.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5.1 Вступ.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Мета документа, сфера застосування (що система охоплює і що ні — автопілоти й наведення не охоплює), визначення (табл. 1.14).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5.2 Драйвери бізнесу (табл. 1.15).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Проблеми ручної роботи: голосове цілевказання 30–90 с, дублі треків, немає картини готовності — і можливості системи.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5.3 Бізнес-модель.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Процеси BP-01…BP-12 і FR, що їх підтримують (табл. 1.16); контекстна схема (рис. 1.7) — входи, виходи, зовнішні системи.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5.4 Системні вимоги (табл. 1.17–1.20).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22 FR деталізовано до 30 системних вимог SR-x.y за чотирма підсистемами, кожна з посиланням на FR.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5.6 Технічні вимоги.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Обладнання, ПЗ, мережа й протоколи (MQTT 5, ASTERIX, MAVLink 2, gRPC, WebSocket) — табл. 1.21–1.23.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5.7–5.9.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Системні якості (табл. 1.24), обмеження й припущення, критерії прийняття (табл. 1.25).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системна вимога відрізняється від функціональної?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Функціональна — «що» на верхньому рівні; системна деталізує її до конкретної реакції або даних, наприклад SR-1.4: вузол, що пропустив 3 контрольні сигнали, стає «деградованим».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Навіщо критерії прийняття?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умови, за яких замовник приймає систему; вони перевіряються приймальним тестуванням (верхній рівень V-моделі).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технічні вимоги в ЛР2 менші, ніж у SRS?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SRS описує цільову промислову конфігурацію з резервуванням у двох ЦОД; у ЛР2 — мінімальні вимоги до реалізованого ядра для одного центру.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Структура SRS — точно та, що в теоретичній частині завдання, тому нічого не пропущено.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Наскрізне трасування: драйвер бізнесу → FR → SR → прецедент → критерій прийняття.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