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2 · Архітектура IoT екосистеми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Вибір архітектурного стилю: EDA + мікросервіси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Архітектурні стилі (лекція 5): монолітна, мікросервісна, SOA, подієво-орієнтована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2.2, 3.3; табл. 2.4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ПР2_Кравченко_ІР-31.docx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з 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Обґрунтовує, як влаштоване IoT-ядро.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Чотири стилі з лекції порівняно за вимогами табл. 2.2 (табл. 2.4). Обрано гібридний стиль: подієво-орієнтована архітектура як основа взаємодії і мікросервіси як спосіб побудови ядра.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Монолітна — відхилено.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Простота є, але не можна масштабувати лише сервіси реального часу, а збій одного модуля зупиняє все.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SOA — ідеї для інтеграції.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Стандартні інтерфейси з зовнішніми системами корисні, але централізована шина ESB стала б вузьким місцем на 20 000 повідомлень/с.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EDA — основа взаємодії.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Пристрої за природою генерують потоки подій: виявлення, оновлення треку, зміна стану місії, телеметрія.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Мікросервіси — дев’ять сервісів ядра.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Кожен — видавець і/або підписник подій; злиття треків і телеметрію можна масштабувати незалежно.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Шина подій зберігає журнал.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Новий сервіс під’єднується без змін у видавцях, а після збою продовжує обробку з місця зупинки.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Але в ЛР2 ви реалізували один Flask-застосунок. Хіба це не моноліт?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Так, і це свідомо: ЛР2 — перший інкремент за моделлю ЖЦ з ПР1, ядро даних і АРМ. Межі майбутніх сервісів уже видно: fn_ingest_detection — це сервіс злиття треків, тригери місії — сервіс призначення. У наступних інкрементах їх винесемо в окремі сервіси на шині подій.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Які недоліки EDA?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Складніше відлагодження і контроль порядку подій; тому стан місії має одне головне джерело — сервіс призначення, а події несуть часові мітки.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мікросервіси відрізняються від SOA?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У SOA сервіси взаємодіють через централізовану шину (ESB) з логікою маршрутизації; мікросервіси — дрібніші, незалежно розгортаються і спілкуються через легкі протоколи або брокер подій без логіки.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Рішення в табл. 2.4 прийнято за вимогами, а не за модою: моноліт відхилено через масштабування і відмовостійкість.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