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ПР 2 · Архітектура IoT екосистеми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Рівні архітектури докладно: шлюз, ядро, застосунки, розміщення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Архітектура IoT-екосистеми, діаграми компонентів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4.1–4.6; рис. 2.2–2.4; табл. 2.5–2.9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ПР2_Кравченко_ІР-31.docx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 з 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Демонструє, з чого складається система і де що працює фізично.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Рис. 2.2 — загальна схема: дані рухаються зліва направо — від пристроїв сектора через периферійний шлюз до шини подій ядра і далі до застосунків.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Пристрої (табл. 2.5).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120 акустичних вузлів (MQTT 5), 4 РЛС (ASTERIX), 12 постів ОЕП (RTSP), 18 НСУ (MAVLink 2 з підписом). Кожен пристрій має власний сертифікат.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Шлюз (рис. 2.3).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Адаптери протоколів (шаблон «Адаптер»), перевірка даних, локальний брокер MQTT, локальне злиття треків, буфер до 4 год, міст до ядра з класами пріоритету: завдання &gt; треки &gt; телеметрія &gt; відео.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Ядро (рис. 2.4, табл. 2.7).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Точки входу — шлюз прийому, інтеграційний адаптер, API-шлюз; дев’ять мікросервісів навколо шини подій; кожному відповідають FR з ПР1.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Застосунки (табл. 2.8).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АРМ КП, мобільний застосунок, АРМ служб, інтеграційні інтерфейси; усі запити — лише через API-шлюз, який перевіряє права.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Розміщення (табл. 2.9).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9 + 2 шлюзи на позиціях, основний і резервний кластери ядра у двох ЦОД, АРМ у браузері; сервіси постачаються як контейнери.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Навіщо API-шлюз?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Єдина точка входу для застосунків (шаблон «Фасад»): перевірка прав, маршрутизація, кеш стану обстановки (шаблон «Проксі»).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буде, якщо зв’язок позиції з ядром зникне?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Шлюз працює автономно: локально зливає треки і буферизує дані до 4 год, а після відновлення передає їх з первинними мітками часу.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класи пріоритету трафіку саме такі?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Бойове завдання критичніше за все (≤ 1 с), далі треки для обстановки, телеметрія, і лише потім відео, яке найважче і найменш критичне.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Кожен мікросервіс прив’язаний до функціональних вимог ПР1 — це видно в останньому стовпці табл. 2.7.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