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Наскрізний потік даних, бюджет затримок, безпека, шаблони та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Діаграма послідовності; бюджет затримок; принципи SOLID і шаблони (лекція 5)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4.7–4.10; рис. 2.5; табл. 2.10–2.13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Доводить, що архітектура справді виконує нефункціональні вимоги.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Рис. 2.5 показує ключовий сценарій «виявлення — обстановка — завдання розрахунку»; табл. 2.10 розподіляє бюджет NFR-01 (2 с до екрана) між рівнями архітектури.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Бюджет затримок.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Сенсор → шлюз ≤ 300 мс, обробка на шлюзі ≤ 100 мс, шлюз → шина ≤ 400 мс, злиття треків ≤ 500 мс і т. д. — сума вкладається в 2 с з запасом.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Безпека за рівнями (табл. 2.11).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Датчики — сертифікати X.509 і підпис MAVLink; мережа — VPN з mTLS, TLS 1.3; ядро — шифрування AES-256, журнал аудиту; застосунки — 2FA і рольовий доступ.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Надійність.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Два ЦОД з реплікацією (відновлення ≤ 60 с), автономність шлюзів ≥ 4 год.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Шаблони (табл. 2.12).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Адаптер — протоколи; Фасад — API-шлюз; Проксі — кеш і перевірка прав; Спостерігач — підписка на події.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SOLID.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Наприклад, відкритість/закритість: новий сервіс під’єднується до потоку подій без змін у видавцях.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Трасування (табл. 2.13).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Кожна NFR, що визначає архітектуру, має щонайменше одне рішення.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Розшифруйте SOLID.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Single responsibility, Open/closed, Liskov substitution, Interface segregation, Dependency inversion — єдина відповідальність, відкритість/закритість, підстановка Лісков, розділення інтерфейсів, інверсія залежностей.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перевірите бюджет затримок?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Навантажувальним тестом з мітками часу на кожному етапі; у ЛР2 вже виміряно етап обробки виявлення в ядрі — близько 8 мс.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в архітектурі шаблон «Спостерігач»?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Сервіси й застосунки підписані на потоки подій шини; у реалізації ЛР2 — тригери БД, що реагують на зміну запису.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Бюджет затримок розписано за етапами, тому видно, що 2 с — досяжна вимога, а не побажання.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