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A119ED9">
      <w:pPr>
        <w:pBdr/>
        <w:spacing/>
        <w:ind w:firstLine="709"/>
        <w:jc w:val="center"/>
        <w:rPr>
          <w:rFonts w:ascii="Times New Roman" w:hAnsi="Times New Roman" w:cs="Times New Roman"/>
          <w:sz w:val="28"/>
          <w:szCs w:val="28"/>
        </w:rPr>
      </w:pPr>
      <w:r>
        <w:rPr>
          <w:rFonts w:ascii="Times New Roman" w:hAnsi="Times New Roman" w:eastAsia="Times New Roman" w:cs="Times New Roman"/>
          <w:sz w:val="28"/>
          <w:szCs w:val="28"/>
        </w:rPr>
        <w:t xml:space="preserve">МІНІСТЕРСТВО ОСВІТИ I НАУКИ УКРАЇНИ</w:t>
      </w:r>
      <w:r>
        <w:rPr>
          <w:rFonts w:ascii="Times New Roman" w:hAnsi="Times New Roman" w:cs="Times New Roman"/>
          <w:sz w:val="28"/>
          <w:szCs w:val="28"/>
        </w:rPr>
      </w:r>
      <w:r>
        <w:rPr>
          <w:rFonts w:ascii="Times New Roman" w:hAnsi="Times New Roman" w:cs="Times New Roman"/>
          <w:sz w:val="28"/>
          <w:szCs w:val="28"/>
        </w:rPr>
      </w:r>
    </w:p>
    <w:p w14:paraId="5324A9C7">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КИЇВСЬКИЙ НАЦІОНАЛЬНИЙ УНІВЕРСИТЕТ ІМЕНІ ТАРАСА ШЕВЧЕНКА</w:t>
      </w:r>
      <w:r>
        <w:rPr>
          <w:rFonts w:ascii="Times New Roman" w:hAnsi="Times New Roman" w:cs="Times New Roman"/>
          <w:sz w:val="28"/>
          <w:szCs w:val="28"/>
        </w:rPr>
      </w:r>
      <w:r>
        <w:rPr>
          <w:rFonts w:ascii="Times New Roman" w:hAnsi="Times New Roman" w:cs="Times New Roman"/>
          <w:sz w:val="28"/>
          <w:szCs w:val="28"/>
        </w:rPr>
      </w:r>
    </w:p>
    <w:p w14:paraId="660A397E">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ФАКУЛЬТЕТ ІНФОРМАЦІЙНИХ ТЕХНОЛОГІЙ</w:t>
      </w:r>
      <w:r>
        <w:rPr>
          <w:rFonts w:ascii="Times New Roman" w:hAnsi="Times New Roman" w:cs="Times New Roman"/>
          <w:sz w:val="28"/>
          <w:szCs w:val="28"/>
        </w:rPr>
      </w:r>
      <w:r>
        <w:rPr>
          <w:rFonts w:ascii="Times New Roman" w:hAnsi="Times New Roman" w:cs="Times New Roman"/>
          <w:sz w:val="28"/>
          <w:szCs w:val="28"/>
        </w:rPr>
      </w:r>
    </w:p>
    <w:p w14:paraId="12AA494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КАФЕДРА ІНФОРМАЦІЙНИХ СИСТЕМ ТА ТЕХНОЛОГІЙ</w:t>
      </w:r>
      <w:r>
        <w:rPr>
          <w:rFonts w:ascii="Times New Roman" w:hAnsi="Times New Roman" w:cs="Times New Roman"/>
          <w:sz w:val="28"/>
          <w:szCs w:val="28"/>
        </w:rPr>
      </w:r>
      <w:r>
        <w:rPr>
          <w:rFonts w:ascii="Times New Roman" w:hAnsi="Times New Roman" w:cs="Times New Roman"/>
          <w:sz w:val="28"/>
          <w:szCs w:val="28"/>
        </w:rPr>
      </w:r>
    </w:p>
    <w:p w14:paraId="32FFBB8C">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t xml:space="preserve">  </w:t>
      </w:r>
      <w:r>
        <w:rPr>
          <w:rFonts w:ascii="Times New Roman" w:hAnsi="Times New Roman" w:cs="Times New Roman"/>
          <w:sz w:val="28"/>
          <w:szCs w:val="28"/>
        </w:rPr>
      </w:r>
      <w:r>
        <w:rPr>
          <w:rFonts w:ascii="Times New Roman" w:hAnsi="Times New Roman" w:cs="Times New Roman"/>
          <w:sz w:val="28"/>
          <w:szCs w:val="28"/>
        </w:rPr>
      </w:r>
    </w:p>
    <w:p w14:paraId="0D8A9E5B">
      <w:pPr>
        <w:pBdr/>
        <w:spacing/>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Практична робота № </w:t>
      </w:r>
      <w:r>
        <w:rPr>
          <w:rFonts w:ascii="Times New Roman" w:hAnsi="Times New Roman" w:cs="Times New Roman"/>
          <w:b/>
          <w:sz w:val="28"/>
          <w:szCs w:val="28"/>
        </w:rPr>
        <w:t>3</w:t>
      </w:r>
      <w:r>
        <w:rPr>
          <w:rFonts w:ascii="Times New Roman" w:hAnsi="Times New Roman" w:cs="Times New Roman"/>
          <w:sz w:val="28"/>
          <w:szCs w:val="28"/>
        </w:rPr>
      </w:r>
      <w:r>
        <w:rPr>
          <w:rFonts w:ascii="Times New Roman" w:hAnsi="Times New Roman" w:cs="Times New Roman"/>
          <w:sz w:val="28"/>
          <w:szCs w:val="28"/>
        </w:rPr>
      </w:r>
    </w:p>
    <w:p w14:paraId="19E07F4D">
      <w:pPr>
        <w:pBdr/>
        <w:spacing/>
        <w:ind/>
        <w:jc w:val="center"/>
        <w:rPr>
          <w:rFonts w:ascii="Times New Roman" w:hAnsi="Times New Roman" w:cs="Times New Roman"/>
        </w:rPr>
      </w:pPr>
      <w:r>
        <w:rPr>
          <w:rFonts w:ascii="Times New Roman" w:hAnsi="Times New Roman" w:eastAsia="Times New Roman" w:cs="Times New Roman"/>
          <w:sz w:val="28"/>
          <w:szCs w:val="28"/>
        </w:rPr>
        <w:t xml:space="preserve">з дисципліни </w:t>
      </w:r>
      <w:r>
        <w:rPr>
          <w:rFonts w:ascii="Times New Roman" w:hAnsi="Times New Roman" w:eastAsia="Times New Roman" w:cs="Times New Roman"/>
          <w:b/>
          <w:bCs/>
          <w:sz w:val="28"/>
          <w:szCs w:val="28"/>
        </w:rPr>
        <w:t xml:space="preserve">«</w:t>
      </w:r>
      <w:r>
        <w:rPr>
          <w:rFonts w:ascii="Times New Roman" w:hAnsi="Times New Roman" w:eastAsia="Times New Roman" w:cs="Times New Roman"/>
          <w:b/>
          <w:bCs/>
          <w:sz w:val="28"/>
          <w:szCs w:val="28"/>
        </w:rPr>
        <w:t xml:space="preserve">Технології створення програмних продуктів</w:t>
      </w:r>
      <w:r>
        <w:rPr>
          <w:rFonts w:ascii="Times New Roman" w:hAnsi="Times New Roman" w:eastAsia="Times New Roman" w:cs="Times New Roman"/>
          <w:b/>
          <w:bCs/>
          <w:sz w:val="28"/>
          <w:szCs w:val="28"/>
        </w:rPr>
        <w:t xml:space="preserve">»</w:t>
      </w:r>
      <w:r>
        <w:rPr>
          <w:rFonts w:ascii="Times New Roman" w:hAnsi="Times New Roman" w:cs="Times New Roman"/>
        </w:rPr>
      </w:r>
      <w:r>
        <w:rPr>
          <w:rFonts w:ascii="Times New Roman" w:hAnsi="Times New Roman" w:cs="Times New Roman"/>
        </w:rPr>
      </w:r>
    </w:p>
    <w:p w14:paraId="1B905C1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r>
      <w:r>
        <w:rPr>
          <w:rFonts w:ascii="Times New Roman" w:hAnsi="Times New Roman" w:cs="Times New Roman"/>
          <w:sz w:val="28"/>
          <w:szCs w:val="28"/>
        </w:rPr>
      </w:r>
      <w:r>
        <w:rPr>
          <w:rFonts w:ascii="Times New Roman" w:hAnsi="Times New Roman" w:cs="Times New Roman"/>
          <w:sz w:val="28"/>
          <w:szCs w:val="28"/>
        </w:rPr>
      </w:r>
    </w:p>
    <w:p w14:paraId="7C1C88FC">
      <w:pPr>
        <w:pBdr/>
        <w:spacing/>
        <w:ind/>
        <w:jc w:val="center"/>
        <w:rPr>
          <w:sz w:val="28"/>
          <w:szCs w:val="28"/>
        </w:rPr>
      </w:pPr>
      <w:r>
        <w:rPr>
          <w:rFonts w:ascii="Times New Roman" w:hAnsi="Times New Roman" w:eastAsia="Times New Roman" w:cs="Times New Roman"/>
          <w:sz w:val="28"/>
          <w:szCs w:val="28"/>
        </w:rPr>
        <w:t xml:space="preserve">Тема: «</w:t>
      </w:r>
      <w:r>
        <w:rPr>
          <w:rFonts w:ascii="Times New Roman" w:hAnsi="Times New Roman" w:eastAsia="Times New Roman" w:cs="Times New Roman"/>
          <w:sz w:val="28"/>
          <w:szCs w:val="28"/>
        </w:rPr>
        <w:t>Опис існуючих програмних та апаратних рішень</w:t>
      </w:r>
      <w:r>
        <w:rPr>
          <w:rFonts w:ascii="Times New Roman" w:hAnsi="Times New Roman" w:eastAsia="Times New Roman" w:cs="Times New Roman"/>
          <w:b/>
          <w:bCs/>
          <w:sz w:val="28"/>
          <w:szCs w:val="28"/>
        </w:rPr>
        <w:t xml:space="preserve">»</w:t>
      </w:r>
      <w:r>
        <w:rPr>
          <w:rFonts w:ascii="Times New Roman" w:hAnsi="Times New Roman" w:eastAsia="Times New Roman" w:cs="Times New Roman"/>
          <w:sz w:val="28"/>
          <w:szCs w:val="28"/>
        </w:rPr>
        <w:br/>
      </w:r>
      <w:r>
        <w:rPr>
          <w:rFonts w:ascii="Times New Roman" w:hAnsi="Times New Roman" w:eastAsia="Times New Roman" w:cs="Times New Roman"/>
          <w:sz w:val="28"/>
          <w:szCs w:val="28"/>
        </w:rPr>
        <w:t xml:space="preserve"> </w:t>
      </w:r>
      <w:r>
        <w:rPr>
          <w:sz w:val="28"/>
          <w:szCs w:val="28"/>
        </w:rPr>
      </w:r>
      <w:r>
        <w:rPr>
          <w:sz w:val="28"/>
          <w:szCs w:val="28"/>
        </w:rPr>
      </w:r>
    </w:p>
    <w:p w14:paraId="6F222511">
      <w:pPr>
        <w:pBdr/>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18929217">
      <w:pPr>
        <w:pBdr/>
        <w:spacing/>
        <w:ind/>
        <w:jc w:val="center"/>
        <w:rPr>
          <w:rFonts w:ascii="Times New Roman" w:hAnsi="Times New Roman" w:cs="Times New Roman"/>
          <w:b/>
          <w:bCs/>
          <w:sz w:val="28"/>
          <w:szCs w:val="28"/>
        </w:rPr>
      </w:pPr>
      <w:r>
        <w:rPr>
          <w:rFonts w:ascii="Times New Roman" w:hAnsi="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14:paraId="1CB31CD6">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Виконав: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CB43C91">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студент гр. ІР-31  </w:t>
      </w:r>
      <w:r>
        <w:rPr>
          <w:rFonts w:ascii="Times New Roman" w:hAnsi="Times New Roman" w:cs="Times New Roman"/>
          <w:sz w:val="28"/>
          <w:szCs w:val="28"/>
        </w:rPr>
      </w:r>
      <w:r>
        <w:rPr>
          <w:rFonts w:ascii="Times New Roman" w:hAnsi="Times New Roman" w:cs="Times New Roman"/>
          <w:sz w:val="28"/>
          <w:szCs w:val="28"/>
        </w:rPr>
      </w:r>
    </w:p>
    <w:p w14:paraId="6684BA6D">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Петро Кравченко</w:t>
      </w:r>
      <w:r>
        <w:rPr>
          <w:rFonts w:ascii="Times New Roman" w:hAnsi="Times New Roman" w:cs="Times New Roman"/>
          <w:sz w:val="28"/>
          <w:szCs w:val="28"/>
        </w:rPr>
      </w:r>
      <w:r>
        <w:rPr>
          <w:rFonts w:ascii="Times New Roman" w:hAnsi="Times New Roman" w:cs="Times New Roman"/>
          <w:sz w:val="28"/>
          <w:szCs w:val="28"/>
        </w:rPr>
      </w:r>
    </w:p>
    <w:p w14:paraId="6FC4C0C2">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Перевірив: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BA42A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Зараховано від  </w:t>
      </w:r>
      <w:r>
        <w:rPr>
          <w:rFonts w:ascii="Times New Roman" w:hAnsi="Times New Roman" w:cs="Times New Roman"/>
          <w:sz w:val="28"/>
          <w:szCs w:val="28"/>
        </w:rPr>
      </w:r>
      <w:r>
        <w:rPr>
          <w:rFonts w:ascii="Times New Roman" w:hAnsi="Times New Roman" w:cs="Times New Roman"/>
          <w:sz w:val="28"/>
          <w:szCs w:val="28"/>
        </w:rPr>
      </w:r>
    </w:p>
    <w:p w14:paraId="7259EC8F">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Кравченко Ольга Віталіївна </w:t>
      </w:r>
      <w:r>
        <w:rPr>
          <w:rFonts w:ascii="Times New Roman" w:hAnsi="Times New Roman" w:cs="Times New Roman"/>
          <w:sz w:val="28"/>
          <w:szCs w:val="28"/>
        </w:rPr>
      </w:r>
      <w:r>
        <w:rPr>
          <w:rFonts w:ascii="Times New Roman" w:hAnsi="Times New Roman" w:cs="Times New Roman"/>
          <w:sz w:val="28"/>
          <w:szCs w:val="28"/>
        </w:rPr>
      </w:r>
    </w:p>
    <w:p w14:paraId="4778369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___________________________  </w:t>
      </w:r>
      <w:r>
        <w:rPr>
          <w:rFonts w:ascii="Times New Roman" w:hAnsi="Times New Roman" w:cs="Times New Roman"/>
          <w:sz w:val="28"/>
          <w:szCs w:val="28"/>
        </w:rPr>
      </w:r>
      <w:r>
        <w:rPr>
          <w:rFonts w:ascii="Times New Roman" w:hAnsi="Times New Roman" w:cs="Times New Roman"/>
          <w:sz w:val="28"/>
          <w:szCs w:val="28"/>
        </w:rPr>
      </w:r>
    </w:p>
    <w:p w14:paraId="6637E8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(підпис викладача)  </w:t>
      </w:r>
      <w:r>
        <w:rPr>
          <w:rFonts w:ascii="Times New Roman" w:hAnsi="Times New Roman" w:cs="Times New Roman"/>
          <w:sz w:val="28"/>
          <w:szCs w:val="28"/>
        </w:rPr>
      </w:r>
      <w:r>
        <w:rPr>
          <w:rFonts w:ascii="Times New Roman" w:hAnsi="Times New Roman" w:cs="Times New Roman"/>
          <w:sz w:val="28"/>
          <w:szCs w:val="28"/>
        </w:rPr>
      </w:r>
    </w:p>
    <w:p w14:paraId="16CAD3CA">
      <w:pPr>
        <w:pBdr/>
        <w:spacing/>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2286A18F">
      <w:pPr>
        <w:pBdr/>
        <w:spacing/>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t>Київ-2026</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sectPr>
          <w:footerReference w:type="first" r:id="rId10"/>
          <w:footerReference w:type="default" r:id="rId11"/>
          <w:headerReference w:type="first" r:id="rId12"/>
          <w:headerReference w:type="default" r:id="rId13"/>
          <w:footnotePr/>
          <w:endnotePr/>
          <w:type w:val="nextPage"/>
          <w:pgSz w:h="16838" w:orient="portrait" w:w="11906"/>
          <w:pgMar w:top="1134" w:right="850" w:bottom="1134" w:left="1701" w:header="709" w:footer="709" w:gutter="0"/>
          <w:cols w:num="1" w:sep="0" w:space="708" w:equalWidth="1"/>
          <w:titlePg/>
        </w:sectPr>
      </w:pPr>
    </w:p>
    <w:p>
      <w:pPr>
        <w:keepNext w:val="0"/>
        <w:widowControl/>
        <w:spacing w:line="360" w:lineRule="auto" w:before="0" w:after="240"/>
        <w:ind w:firstLine="0" w:left="0"/>
        <w:jc w:val="center"/>
      </w:pPr>
      <w:r>
        <w:rPr>
          <w:rFonts w:ascii="Times New Roman" w:hAnsi="Times New Roman" w:cs="Times New Roman" w:eastAsia="Times New Roman"/>
          <w:b/>
          <w:i w:val="0"/>
          <w:color w:val="000000"/>
          <w:sz w:val="28"/>
        </w:rPr>
        <w:t>ЗМІСТ</w:t>
      </w:r>
    </w:p>
    <w:p>
      <w:pPr>
        <w:pStyle w:val="874"/>
        <w:keepNext w:val="0"/>
        <w:widowControl/>
        <w:tabs>
          <w:tab w:pos="9354" w:val="right" w:leader="dot"/>
        </w:tabs>
        <w:spacing w:line="360" w:lineRule="auto" w:before="0" w:after="0"/>
        <w:ind w:firstLine="0" w:left="0"/>
        <w:jc w:val="left"/>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000001" w:history="1">
        <w:r>
          <w:rPr>
            <w:rFonts w:ascii="Times New Roman" w:hAnsi="Times New Roman" w:cs="Times New Roman"/>
            <w:sz w:val="28"/>
            <w:szCs w:val="28"/>
          </w:rPr>
          <w:t xml:space="preserve">ВСТУП</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2" w:history="1">
        <w:r>
          <w:rPr>
            <w:rFonts w:ascii="Times New Roman" w:hAnsi="Times New Roman" w:cs="Times New Roman"/>
            <w:sz w:val="28"/>
            <w:szCs w:val="28"/>
          </w:rPr>
          <w:t xml:space="preserve">1. АНАЛІЗ ІСНУЮЧИХ ПРОГРАМНИХ РІШЕНЬ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3" w:history="1">
        <w:r>
          <w:rPr>
            <w:rFonts w:ascii="Times New Roman" w:hAnsi="Times New Roman" w:cs="Times New Roman"/>
            <w:sz w:val="28"/>
            <w:szCs w:val="28"/>
          </w:rPr>
          <w:t xml:space="preserve">1.1. Система ситуаційної обізнаності DELTA</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4" w:history="1">
        <w:r>
          <w:rPr>
            <w:rFonts w:ascii="Times New Roman" w:hAnsi="Times New Roman" w:cs="Times New Roman"/>
            <w:sz w:val="28"/>
            <w:szCs w:val="28"/>
          </w:rPr>
          <w:t xml:space="preserve">1.2. Платформа виявлення дронів DedroneTracker.AI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5" w:history="1">
        <w:r>
          <w:rPr>
            <w:rFonts w:ascii="Times New Roman" w:hAnsi="Times New Roman" w:cs="Times New Roman"/>
            <w:sz w:val="28"/>
            <w:szCs w:val="28"/>
          </w:rPr>
          <w:t xml:space="preserve">1.3. Мережа відстеження повітряних суден Flightradar24</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6" w:history="1">
        <w:r>
          <w:rPr>
            <w:rFonts w:ascii="Times New Roman" w:hAnsi="Times New Roman" w:cs="Times New Roman"/>
            <w:sz w:val="28"/>
            <w:szCs w:val="28"/>
          </w:rPr>
          <w:t xml:space="preserve">1.4. IoT-платформа ThingsBoard</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6</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7" w:history="1">
        <w:r>
          <w:rPr>
            <w:rFonts w:ascii="Times New Roman" w:hAnsi="Times New Roman" w:cs="Times New Roman"/>
            <w:sz w:val="28"/>
            <w:szCs w:val="28"/>
          </w:rPr>
          <w:t xml:space="preserve">1.5. Наземна станція управління QGroundControl</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6</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8" w:history="1">
        <w:r>
          <w:rPr>
            <w:rFonts w:ascii="Times New Roman" w:hAnsi="Times New Roman" w:cs="Times New Roman"/>
            <w:sz w:val="28"/>
            <w:szCs w:val="28"/>
          </w:rPr>
          <w:t xml:space="preserve">1.6. Порівняльний аналіз програмних рішень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7</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9" w:history="1">
        <w:r>
          <w:rPr>
            <w:rFonts w:ascii="Times New Roman" w:hAnsi="Times New Roman" w:cs="Times New Roman"/>
            <w:sz w:val="28"/>
            <w:szCs w:val="28"/>
          </w:rPr>
          <w:t xml:space="preserve">2. АНАЛІЗ АПАРАТНИХ РІШЕНЬ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11</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0" w:history="1">
        <w:r>
          <w:rPr>
            <w:rFonts w:ascii="Times New Roman" w:hAnsi="Times New Roman" w:cs="Times New Roman"/>
            <w:sz w:val="28"/>
            <w:szCs w:val="28"/>
          </w:rPr>
          <w:t xml:space="preserve">2.1. Склад апаратної частини та методика вибору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11</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1" w:history="1">
        <w:r>
          <w:rPr>
            <w:rFonts w:ascii="Times New Roman" w:hAnsi="Times New Roman" w:cs="Times New Roman"/>
            <w:sz w:val="28"/>
            <w:szCs w:val="28"/>
          </w:rPr>
          <w:t xml:space="preserve">2.2. Акустичні сенсори (мікрофонні решітки)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11</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2" w:history="1">
        <w:r>
          <w:rPr>
            <w:rFonts w:ascii="Times New Roman" w:hAnsi="Times New Roman" w:cs="Times New Roman"/>
            <w:sz w:val="28"/>
            <w:szCs w:val="28"/>
          </w:rPr>
          <w:t xml:space="preserve">2.3. Радіолокаційні станції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13</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3" w:history="1">
        <w:r>
          <w:rPr>
            <w:rFonts w:ascii="Times New Roman" w:hAnsi="Times New Roman" w:cs="Times New Roman"/>
            <w:sz w:val="28"/>
            <w:szCs w:val="28"/>
          </w:rPr>
          <w:t xml:space="preserve">2.4. Тепловізійні та оптико-електронні модулі</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14</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4" w:history="1">
        <w:r>
          <w:rPr>
            <w:rFonts w:ascii="Times New Roman" w:hAnsi="Times New Roman" w:cs="Times New Roman"/>
            <w:sz w:val="28"/>
            <w:szCs w:val="28"/>
          </w:rPr>
          <w:t xml:space="preserve">2.5. Обчислювальна платформа периферійного шлюзу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16</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5" w:history="1">
        <w:r>
          <w:rPr>
            <w:rFonts w:ascii="Times New Roman" w:hAnsi="Times New Roman" w:cs="Times New Roman"/>
            <w:sz w:val="28"/>
            <w:szCs w:val="28"/>
          </w:rPr>
          <w:t xml:space="preserve">2.6. Підсумковий склад апаратної частини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18</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16" w:history="1">
        <w:r>
          <w:rPr>
            <w:rFonts w:ascii="Times New Roman" w:hAnsi="Times New Roman" w:cs="Times New Roman"/>
            <w:sz w:val="28"/>
            <w:szCs w:val="28"/>
          </w:rPr>
          <w:t xml:space="preserve">ВИСНОВКИ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21</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17" w:history="1">
        <w:r>
          <w:rPr>
            <w:rFonts w:ascii="Times New Roman" w:hAnsi="Times New Roman" w:cs="Times New Roman"/>
            <w:sz w:val="28"/>
            <w:szCs w:val="28"/>
          </w:rPr>
          <w:t xml:space="preserve">СПИСОК ВИКОРИСТАНИХ ДЖЕРЕЛ</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22</w:t>
        </w:r>
        <w:r>
          <w:rPr>
            <w:rFonts w:ascii="Times New Roman" w:hAnsi="Times New Roman" w:cs="Times New Roman"/>
            <w:sz w:val="28"/>
            <w:szCs w:val="28"/>
          </w:rPr>
          <w:fldChar w:fldCharType="end"/>
        </w:r>
      </w:hyperlink>
      <w:r>
        <w:rPr>
          <w:rFonts w:ascii="Times New Roman" w:hAnsi="Times New Roman" w:cs="Times New Roman"/>
          <w:sz w:val="28"/>
          <w:szCs w:val="28"/>
        </w:rPr>
        <w:fldChar w:fldCharType="end"/>
      </w:r>
    </w:p>
    <w:p>
      <w:pPr>
        <w:pStyle w:val="827"/>
        <w:keepNext/>
        <w:pageBreakBefore/>
        <w:widowControl/>
        <w:spacing w:line="360" w:lineRule="auto" w:before="240" w:after="240"/>
        <w:ind w:firstLine="0" w:left="0"/>
        <w:jc w:val="center"/>
      </w:pPr>
      <w:bookmarkStart w:id="1" w:name="_Toc000001"/>
      <w:r>
        <w:rPr>
          <w:rFonts w:ascii="Times New Roman" w:hAnsi="Times New Roman" w:cs="Times New Roman" w:eastAsia="Times New Roman"/>
          <w:b/>
          <w:i w:val="0"/>
          <w:color w:val="000000"/>
          <w:sz w:val="28"/>
        </w:rPr>
        <w:t>ВСТУП</w:t>
      </w:r>
      <w:bookmarkEnd w:id="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Мета роботи — розглянути існуючі програмні та апаратні рішення, які можуть вважатися аналогами або джерелами ідей для власного програмного продукту, порівняти їх за обраними критеріями та сформулювати загальне рішення з погляду апаратної й програмної частин [1].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Програмний продукт — IoT-платформа «Щит-Лінк» на тему «Розподілена IoT-система цілевказівки та координації дронів для перехоплення повітряних цілей». Вимоги до продукту визначено в практичній роботі № 1 [2], а чотирирівневу архітектуру IoT-рішення (рівні датчиків, мережевий, обробки даних і застосунків) — у практичній роботі № 2 [3]. Робота складається з двох розділів: аналізу п’яти програмних аналогів, зокрема з інших предметних областей, і порівняння апаратних засобів чотирьох категорій з вибором за методом зважених оцінок. Звіт оформлено відповідно до ДСТУ 3008:2015 [4].</w:t>
      </w:r>
    </w:p>
    <w:p>
      <w:pPr>
        <w:keepNext w:val="0"/>
        <w:widowControl/>
        <w:spacing w:line="360" w:lineRule="auto" w:before="0" w:after="0"/>
        <w:ind w:firstLine="709" w:left="0"/>
        <w:jc w:val="both"/>
      </w:pPr>
      <w:r>
        <w:rPr>
          <w:rFonts w:ascii="Times New Roman" w:hAnsi="Times New Roman" w:cs="Times New Roman" w:eastAsia="Times New Roman"/>
          <w:b w:val="0"/>
          <w:i/>
          <w:color w:val="000000"/>
          <w:sz w:val="28"/>
        </w:rPr>
        <w:t>Примітка: РЦПДО «Щит-Північ» і IoT-платформа «Щит-Лінк» є навчальними умовними моделями; описані аналоги та обладнання — реальні продукти, дані про які взято з наведених публічних джерел.</w:t>
      </w:r>
    </w:p>
    <w:p>
      <w:pPr>
        <w:pStyle w:val="827"/>
        <w:keepNext/>
        <w:pageBreakBefore/>
        <w:widowControl/>
        <w:spacing w:line="360" w:lineRule="auto" w:before="240" w:after="240"/>
        <w:ind w:firstLine="0" w:left="0"/>
        <w:jc w:val="center"/>
      </w:pPr>
      <w:bookmarkStart w:id="2" w:name="_Toc000002"/>
      <w:r>
        <w:rPr>
          <w:rFonts w:ascii="Times New Roman" w:hAnsi="Times New Roman" w:cs="Times New Roman" w:eastAsia="Times New Roman"/>
          <w:b/>
          <w:i w:val="0"/>
          <w:color w:val="000000"/>
          <w:sz w:val="28"/>
        </w:rPr>
        <w:t>1. АНАЛІЗ ІСНУЮЧИХ ПРОГРАМНИХ РІШЕНЬ</w:t>
      </w:r>
      <w:bookmarkEnd w:id="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Для аналізу обрано п’ять програмних рішень. Два з них належать до тієї самої предметної області (система ситуаційної обізнаності та платформа виявлення дронів), три — до інших областей (цивільне відстеження повітряних суден, універсальна IoT-платформа, наземна станція управління БпЛА), але містять складові, які можна застосувати в «Щит-Лінк».</w:t>
      </w:r>
    </w:p>
    <w:p>
      <w:pPr>
        <w:pStyle w:val="828"/>
        <w:keepNext/>
        <w:pageBreakBefore w:val="0"/>
        <w:widowControl/>
        <w:spacing w:line="360" w:lineRule="auto" w:before="120" w:after="120"/>
        <w:ind w:firstLine="709" w:left="0"/>
        <w:jc w:val="left"/>
      </w:pPr>
      <w:bookmarkStart w:id="3" w:name="_Toc000003"/>
      <w:r>
        <w:rPr>
          <w:rFonts w:ascii="Times New Roman" w:hAnsi="Times New Roman" w:cs="Times New Roman" w:eastAsia="Times New Roman"/>
          <w:b/>
          <w:i w:val="0"/>
          <w:color w:val="000000"/>
          <w:sz w:val="28"/>
        </w:rPr>
        <w:t>1.1. Система ситуаційної обізнаності DELTA</w:t>
      </w:r>
      <w:bookmarkEnd w:id="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DELTA — національна військова система ситуаційної обізнаності Сил безпеки та оборони України, яка поєднує сенсори, мережі зв’язку й аналітику даних для обробки інформації в реальному часі та ухвалення рішень [5]. Система працює у вебпереглядачі після автентифікації користувача та має модулі: Monitor (цифрова карта положення своїх військ і противника), Delta Mobile (мобільний застосунок з роботою без мережі), Vezha (аналіз відео з захищеною передачею), Target Hub (управління цілями) і Mission Control (планування й синхронізація засобів розвідки), а також захищений чат, файлове сховище та інтеграцію з іншими бойовими системами [5].</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Система широко запроваджена з серпня 2022 р.; її серверна частина працює в хмарному середовищі, а клієнти — на звичайних комп’ютерах, планшетах і смартфонах; дані надходять від дронів, мереж сенсорів, супутникових знімків і розвідувальних підрозділів, розробка ведеться в координації з НАТО [6].</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Що зацікавило:</w:t>
      </w:r>
      <w:r>
        <w:rPr>
          <w:rFonts w:ascii="Times New Roman" w:hAnsi="Times New Roman" w:cs="Times New Roman" w:eastAsia="Times New Roman"/>
          <w:b w:val="0"/>
          <w:i w:val="0"/>
          <w:color w:val="000000"/>
          <w:sz w:val="28"/>
        </w:rPr>
        <w:t xml:space="preserve"> модульна побудова навколо єдиної цифрової карти, у якій кожен модуль відповідає за окрему функцію; мобільний клієнт, що працює без зв’язку; окремий модуль планування місій. Для «Щит-Лінк» ці ідеї використано в структурі рівня застосунків: АРМ командного пункту з картою обстановки, мобільний застосунок розрахунку з автономною роботою та сервіс «Призначення і місії». Хмарне розміщення ядра натомість не підходить регіональному центру з вимогою захисту інформації на власних серверах [2].</w:t>
      </w:r>
    </w:p>
    <w:p>
      <w:pPr>
        <w:pStyle w:val="828"/>
        <w:keepNext/>
        <w:pageBreakBefore w:val="0"/>
        <w:widowControl/>
        <w:spacing w:line="360" w:lineRule="auto" w:before="120" w:after="120"/>
        <w:ind w:firstLine="709" w:left="0"/>
        <w:jc w:val="left"/>
      </w:pPr>
      <w:bookmarkStart w:id="4" w:name="_Toc000004"/>
      <w:r>
        <w:rPr>
          <w:rFonts w:ascii="Times New Roman" w:hAnsi="Times New Roman" w:cs="Times New Roman" w:eastAsia="Times New Roman"/>
          <w:b/>
          <w:i w:val="0"/>
          <w:color w:val="000000"/>
          <w:sz w:val="28"/>
        </w:rPr>
        <w:t>1.2. Платформа виявлення дронів DedroneTracker.AI</w:t>
      </w:r>
      <w:bookmarkEnd w:id="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DedroneTracker.AI — комерційна програмна платформа захисту повітряного простору від дронів. Вона поєднує датчики чотирьох типів — радіочастотні, радіолокаційні, відео- та акустичні, а рушій злиття сенсорних даних визначає місцеположення як дрона, так і його оператора [7]. Модуль штучного інтелекту аналізує поведінку, зображення та політні дані, формує цілі за пріоритетом ризику й розпізнає близько 300 моделей дронів; система одночасно супроводжує кілька дронів, відокремлює дружні та надсилає автоматичні сповіщення працівникам у полі й до центру безпеки [7]. Платформа постачається для стаціонарних об’єктів, мобільних причепів і портативних комплектів, інтегрується з обладнанням 20 партнерів, зокрема виробників радарів і камер (Echodyne, FLIR, Axis), а рішення про протидію ухвалює оператор [7].</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Що зацікавило:</w:t>
      </w:r>
      <w:r>
        <w:rPr>
          <w:rFonts w:ascii="Times New Roman" w:hAnsi="Times New Roman" w:cs="Times New Roman" w:eastAsia="Times New Roman"/>
          <w:b w:val="0"/>
          <w:i w:val="0"/>
          <w:color w:val="000000"/>
          <w:sz w:val="28"/>
        </w:rPr>
        <w:t xml:space="preserve"> рушій злиття різнотипних датчиків, база сигнатур для класифікації, автоматичні сповіщення в поле та інтеграцію обладнання різних виробників. У «Щит-Лінк» ці ідеї реалізовано в сервісах злиття треків і класифікації та в адаптерах протоколів периферійного шлюзу; принцип обов’язкового рішення людини відповідає санкціонуванню пуску оперативним черговим [2].</w:t>
      </w:r>
    </w:p>
    <w:p>
      <w:pPr>
        <w:pStyle w:val="828"/>
        <w:keepNext/>
        <w:pageBreakBefore w:val="0"/>
        <w:widowControl/>
        <w:spacing w:line="360" w:lineRule="auto" w:before="120" w:after="120"/>
        <w:ind w:firstLine="709" w:left="0"/>
        <w:jc w:val="left"/>
      </w:pPr>
      <w:bookmarkStart w:id="5" w:name="_Toc000005"/>
      <w:r>
        <w:rPr>
          <w:rFonts w:ascii="Times New Roman" w:hAnsi="Times New Roman" w:cs="Times New Roman" w:eastAsia="Times New Roman"/>
          <w:b/>
          <w:i w:val="0"/>
          <w:color w:val="000000"/>
          <w:sz w:val="28"/>
        </w:rPr>
        <w:t>1.3. Мережа відстеження повітряних суден Flightradar24</w:t>
      </w:r>
      <w:bookmarkEnd w:id="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Flightradar24 — сервіс цивільного відстеження повітряних суден, який поєднує дані ADS-B, мультилатерації (MLAT) і радарів з розкладами авіакомпаній та аеропортів [8]. Для визначення положення літака без ADS-B методом мультилатерації потрібно щонайменше чотири приймачі мережі, що прийняли сигнал того самого борту [8]. Основу системи становить розподілена мережа понад 50 000 підключених наземних станцій, дані з яких передають учасники мережі [9]; власникам підходящих місць компанія безкоштовно надсилає готові комплекти приймача, щоб розширити покриття [10].</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Що зацікавило:</w:t>
      </w:r>
      <w:r>
        <w:rPr>
          <w:rFonts w:ascii="Times New Roman" w:hAnsi="Times New Roman" w:cs="Times New Roman" w:eastAsia="Times New Roman"/>
          <w:b w:val="0"/>
          <w:i w:val="0"/>
          <w:color w:val="000000"/>
          <w:sz w:val="28"/>
        </w:rPr>
        <w:t xml:space="preserve"> масова мережа недорогих однотипних приймачів, що разом дають покриття, недосяжне для окремих дорогих станцій; визначення координат за різницею часу приходу сигналу кількома приймачами; об’єднання кількох джерел даних в одну картину. Аналогічно в «Щит-Лінк» 120 недорогих акустичних вузлів визначають координати цілі тріангуляцією пеленгів кількох вузлів, що вимагає точної синхронізації часу вузлів.</w:t>
      </w:r>
    </w:p>
    <w:p>
      <w:pPr>
        <w:pStyle w:val="828"/>
        <w:keepNext/>
        <w:pageBreakBefore w:val="0"/>
        <w:widowControl/>
        <w:spacing w:line="360" w:lineRule="auto" w:before="120" w:after="120"/>
        <w:ind w:firstLine="709" w:left="0"/>
        <w:jc w:val="left"/>
      </w:pPr>
      <w:bookmarkStart w:id="6" w:name="_Toc000006"/>
      <w:r>
        <w:rPr>
          <w:rFonts w:ascii="Times New Roman" w:hAnsi="Times New Roman" w:cs="Times New Roman" w:eastAsia="Times New Roman"/>
          <w:b/>
          <w:i w:val="0"/>
          <w:color w:val="000000"/>
          <w:sz w:val="28"/>
        </w:rPr>
        <w:t>1.4. IoT-платформа ThingsBoard</w:t>
      </w:r>
      <w:bookmarkEnd w:id="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ThingsBoard — платформа Інтернету речей із відкритим кодом (ліцензія Apache 2.0) для керування пристроями, збору, обробки та візуалізації даних. Компонент ThingsBoard Edge обробляє та зберігає дані локальних пристроїв незалежно від сервера, працює без зв’язку з ним і після відновлення з’єднання автоматично синхронізує дані без втрат; підтримуються протоколи MQTT, HTTP, CoAP, конструктор ланцюжків правил обробки та панелі реального часу, а один екземпляр Edge обслуговує до 1000 пристроїв [11].</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Що зацікавило:</w:t>
      </w:r>
      <w:r>
        <w:rPr>
          <w:rFonts w:ascii="Times New Roman" w:hAnsi="Times New Roman" w:cs="Times New Roman" w:eastAsia="Times New Roman"/>
          <w:b w:val="0"/>
          <w:i w:val="0"/>
          <w:color w:val="000000"/>
          <w:sz w:val="28"/>
        </w:rPr>
        <w:t xml:space="preserve"> модель «периферійний вузол — центральний сервер» з автономною роботою та автоматичною синхронізацією, конструктор правил для сповіщень і відкритий код. Саме така модель покладена в основу периферійного шлюзу позиції «Щит-Лінк» з буфером відкладеної передачі [3]. Водночас універсальна платформа не має предметної логіки злиття треків і супроводу місій, тому її доцільно розглядати як еталон, а не як основу продукту.</w:t>
      </w:r>
    </w:p>
    <w:p>
      <w:pPr>
        <w:pStyle w:val="828"/>
        <w:keepNext/>
        <w:pageBreakBefore w:val="0"/>
        <w:widowControl/>
        <w:spacing w:line="360" w:lineRule="auto" w:before="120" w:after="120"/>
        <w:ind w:firstLine="709" w:left="0"/>
        <w:jc w:val="left"/>
      </w:pPr>
      <w:bookmarkStart w:id="7" w:name="_Toc000007"/>
      <w:r>
        <w:rPr>
          <w:rFonts w:ascii="Times New Roman" w:hAnsi="Times New Roman" w:cs="Times New Roman" w:eastAsia="Times New Roman"/>
          <w:b/>
          <w:i w:val="0"/>
          <w:color w:val="000000"/>
          <w:sz w:val="28"/>
        </w:rPr>
        <w:t>1.5. Наземна станція управління QGroundControl</w:t>
      </w:r>
      <w:bookmarkEnd w:id="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QGroundControl — наземна станція управління з відкритим кодом (ліцензії Apache 2.0 і GPLv3) для протоколу MAVLink, що підтримує автопілоти PX4 і ArduPilot та будь-які апарати з MAVLink, усі типи апаратів (мультикоптери, літаки, VTOL) і працює в Windows, macOS, Linux, iOS та Android [12]. Застосунок відображає апарат на карті з індикатором положення, планує місії з точками маршруту, геозонами та точками повернення [13], а у вікні польоту показує відео з камери апарата з перемиканням «відео — карта» [14].</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Що зацікавило:</w:t>
      </w:r>
      <w:r>
        <w:rPr>
          <w:rFonts w:ascii="Times New Roman" w:hAnsi="Times New Roman" w:cs="Times New Roman" w:eastAsia="Times New Roman"/>
          <w:b w:val="0"/>
          <w:i w:val="0"/>
          <w:color w:val="000000"/>
          <w:sz w:val="28"/>
        </w:rPr>
        <w:t xml:space="preserve"> робота з протоколом MAVLink незалежно від виробника автопілота, відображення телеметрії та відео в реальному часі, кросплатформний клієнт. У «Щит-Лінк» MAVLink 2 використовується для отримання телеметрії перехоплювачів через НСУ розрахунку, а мобільний застосунок відображає телеметрію разом із треком цілі. Керування польотом залишається функцією НСУ та не входить до меж продукту [2].</w:t>
      </w:r>
    </w:p>
    <w:p>
      <w:pPr>
        <w:pStyle w:val="828"/>
        <w:keepNext/>
        <w:pageBreakBefore w:val="0"/>
        <w:widowControl/>
        <w:spacing w:line="360" w:lineRule="auto" w:before="120" w:after="120"/>
        <w:ind w:firstLine="709" w:left="0"/>
        <w:jc w:val="left"/>
      </w:pPr>
      <w:bookmarkStart w:id="8" w:name="_Toc000008"/>
      <w:r>
        <w:rPr>
          <w:rFonts w:ascii="Times New Roman" w:hAnsi="Times New Roman" w:cs="Times New Roman" w:eastAsia="Times New Roman"/>
          <w:b/>
          <w:i w:val="0"/>
          <w:color w:val="000000"/>
          <w:sz w:val="28"/>
        </w:rPr>
        <w:t>1.6. Порівняльний аналіз програмних рішень</w:t>
      </w:r>
      <w:bookmarkEnd w:id="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Аналоги згруповано за чотирма групами критеріїв: дані та сенсори, обробка даних, розгортання та відкритість, взаємодія з користувачем (табл. 3.1). Позначки: «+» — властивість реалізовано повністю, «±» — частково, «−» — відсутня; підсумковий бал обчислено як суму (+ = 1, ± = 0,5).</w:t>
      </w:r>
    </w:p>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3.1 — Порівняння програмних аналогів за групами критеріїв</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val="true"/>
        </w:trPr>
        <w:tc>
          <w:tcPr>
            <w:tcW w:type="dxa" w:w="202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Критерій</w:t>
            </w:r>
          </w:p>
        </w:tc>
        <w:tc>
          <w:tcPr>
            <w:tcW w:type="dxa" w:w="146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DELTA</w:t>
            </w:r>
          </w:p>
        </w:tc>
        <w:tc>
          <w:tcPr>
            <w:tcW w:type="dxa" w:w="146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Dedrone</w:t>
            </w:r>
          </w:p>
        </w:tc>
        <w:tc>
          <w:tcPr>
            <w:tcW w:type="dxa" w:w="146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FR24</w:t>
            </w:r>
          </w:p>
        </w:tc>
        <w:tc>
          <w:tcPr>
            <w:tcW w:type="dxa" w:w="146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Things-Board</w:t>
            </w:r>
          </w:p>
        </w:tc>
        <w:tc>
          <w:tcPr>
            <w:tcW w:type="dxa" w:w="146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QGround-Control</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i w:val="0"/>
                <w:color w:val="000000"/>
                <w:sz w:val="22"/>
              </w:rPr>
              <w:t>Дані та сенсори</w:t>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Різнотипні джерела даних</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дрони, сенсори, супутники</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РЧ, радар, відео, акустика</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ADS-B, MLAT, радар</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будь-які пристрої</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лише БпЛА</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Розподілена мережа датчиків</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мережі сенсорів</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об’єктові комплекси</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понад 50 000 приймачів</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тисячі пристроїв</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немає</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i w:val="0"/>
                <w:color w:val="000000"/>
                <w:sz w:val="22"/>
              </w:rPr>
              <w:t>Обробка даних</w:t>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Злиття даних і локалізація</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агрегація на карті</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рушій злиття</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мультилатерація</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правила обробки</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немає</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Робота без зв’язку з центром</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офлайн-застосунок</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портативні комплекти</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лише онлайн</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Edge з синхронізацією</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локальна робота</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i w:val="0"/>
                <w:color w:val="000000"/>
                <w:sz w:val="22"/>
              </w:rPr>
              <w:t>Розгортання та відкритість</w:t>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Відкритий код, ліцензія</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державна система</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комерційна</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комерційний сервіс</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Apache 2.0</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Apache 2.0 / GPLv3</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Розгортання на власних серверах</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хмарне ядро</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комплекти на об’єкті; хостинг ПЗ не вказано</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сервіс</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власна інфраструктура</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локально</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Відкриті інтерфейси інтеграції</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інтеграція з бойовими системами</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+ 20 партнерів з інтеграції</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API даних</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MQTT, HTTP, CoAP</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протокол MAVLink</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i w:val="0"/>
                <w:color w:val="000000"/>
                <w:sz w:val="22"/>
              </w:rPr>
              <w:t>Взаємодія з користувачем</w:t>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Мобільний клієнт</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Delta Mobile</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сповіщення в полі</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застосунок</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веб-інтерфейс</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Android, iOS</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Планування й супровід завдань</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Mission Control</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вибір засобу протидії</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немає</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немає</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планування місій</w:t>
            </w:r>
          </w:p>
        </w:tc>
      </w:tr>
      <w:tr>
        <w:trPr>
          <w:cantSplit w:val="true"/>
        </w:trPr>
        <w:tc>
          <w:tcPr>
            <w:tcW w:type="dxa" w:w="2029"/>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Підсумковий бал (з 9)</w:t>
            </w:r>
          </w:p>
        </w:tc>
        <w:tc>
          <w:tcPr>
            <w:tcW w:type="dxa" w:w="1465"/>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6</w:t>
            </w:r>
          </w:p>
        </w:tc>
        <w:tc>
          <w:tcPr>
            <w:tcW w:type="dxa" w:w="1465"/>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6</w:t>
            </w:r>
          </w:p>
        </w:tc>
        <w:tc>
          <w:tcPr>
            <w:tcW w:type="dxa" w:w="1465"/>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4</w:t>
            </w:r>
          </w:p>
        </w:tc>
        <w:tc>
          <w:tcPr>
            <w:tcW w:type="dxa" w:w="1465"/>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6,5</w:t>
            </w:r>
          </w:p>
        </w:tc>
        <w:tc>
          <w:tcPr>
            <w:tcW w:type="dxa" w:w="1465"/>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6</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Найбільше властивостей, потрібних «Щит-Лінк», має ThingsBoard (6,5 бала); далі — QGroundControl, DedroneTracker.AI і DELTA (по 6 бала). Жоден аналог не покриває всіх груп критеріїв. Системи тієї самої предметної області (DELTA, DedroneTracker.AI) сильні в злитті даних і роботі з користувачем, але закриті й прив’язані до хмари або комерційної ліцензії. Рішення з інших областей (ThingsBoard, QGroundControl) відкриті, розгортаються на власних серверах і працюють без зв’язку, але не мають предметної логіки. Flightradar24 найкраще демонструє масову мережу недорогих датчиків і мультилатерацію, але є закритим онлайн-сервісом.</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Отже, створення власного продукту обґрунтоване: «Щит-Лінк» поєднує предметні функції спеціалізованих систем із відкритістю, автономністю та розгортанням на власних серверах, притаманними відкритим IoT-рішенням. Конкретні запозичені рішення та місце їх застосування в архітектурі наведено в табл. 3.2.</w:t>
      </w:r>
    </w:p>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3.2 — Рішення аналогів, запозичені для «Щит-Лінк»</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1871"/>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Аналог</w:t>
            </w:r>
          </w:p>
        </w:tc>
        <w:tc>
          <w:tcPr>
            <w:tcW w:type="dxa" w:w="4093"/>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Що запозичено</w:t>
            </w:r>
          </w:p>
        </w:tc>
        <w:tc>
          <w:tcPr>
            <w:tcW w:type="dxa" w:w="3391"/>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Де застосовано в архітектурі</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DELTA</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Модульна побудова навколо єдиної цифрової карти; офлайн-режим мобільного клієнта; окремий модуль планування місій</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Рівень застосунків: АРМ КП, мобільний застосунок; сервіс «Призначення і місії»</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DedroneTracker.AI</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Рушій злиття різнотипних сенсорів; база сигнатур для класифікації; рішення про протидію ухвалює оператор; інтеграція обладнання 20 партнерів</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Сервіси злиття треків і класифікації; адаптери пристроїв; санкціонування пуску людиною</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Flightradar24</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Масова мережа недорогих приймачів; мультилатерація за різницею часу приходу сигналів (не менше 4 приймачів); об’єднання кількох джерел даних</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Мережа акустичних вузлів; тріангуляція пеленгів; синхронізація часу вузлів</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ThingsBoard</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Периферійний вузол Edge з автономною роботою та автосинхронізацією без втрати даних; конструктор правил обробки; відкритий код</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Периферійний шлюз позиції; буфер із відкладеною передачею; правила сповіщень</w:t>
            </w:r>
          </w:p>
        </w:tc>
      </w:tr>
      <w:tr>
        <w:trPr>
          <w:cantSplit w:val="true"/>
        </w:trPr>
        <w:tc>
          <w:tcPr>
            <w:tcW w:type="dxa" w:w="187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QGroundControl</w:t>
            </w:r>
          </w:p>
        </w:tc>
        <w:tc>
          <w:tcPr>
            <w:tcW w:type="dxa" w:w="4093"/>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Робота за протоколом MAVLink з різними автопілотами; відображення телеметрії та відео; кросплатформність</w:t>
            </w:r>
          </w:p>
        </w:tc>
        <w:tc>
          <w:tcPr>
            <w:tcW w:type="dxa" w:w="339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Адаптер MAVLink шлюзу; відображення телеметрії перехоплювача; мобільний застосунок</w:t>
            </w:r>
          </w:p>
        </w:tc>
      </w:tr>
    </w:tbl>
    <w:p>
      <w:pPr>
        <w:pStyle w:val="827"/>
        <w:keepNext/>
        <w:pageBreakBefore/>
        <w:widowControl/>
        <w:spacing w:line="360" w:lineRule="auto" w:before="240" w:after="240"/>
        <w:ind w:firstLine="0" w:left="0"/>
        <w:jc w:val="center"/>
      </w:pPr>
      <w:bookmarkStart w:id="9" w:name="_Toc000009"/>
      <w:r>
        <w:rPr>
          <w:rFonts w:ascii="Times New Roman" w:hAnsi="Times New Roman" w:cs="Times New Roman" w:eastAsia="Times New Roman"/>
          <w:b/>
          <w:i w:val="0"/>
          <w:color w:val="000000"/>
          <w:sz w:val="28"/>
        </w:rPr>
        <w:t>2. АНАЛІЗ АПАРАТНИХ РІШЕНЬ</w:t>
      </w:r>
      <w:bookmarkEnd w:id="9"/>
    </w:p>
    <w:p>
      <w:pPr>
        <w:pStyle w:val="828"/>
        <w:keepNext/>
        <w:pageBreakBefore w:val="0"/>
        <w:widowControl/>
        <w:spacing w:line="360" w:lineRule="auto" w:before="120" w:after="120"/>
        <w:ind w:firstLine="709" w:left="0"/>
        <w:jc w:val="left"/>
      </w:pPr>
      <w:bookmarkStart w:id="10" w:name="_Toc000010"/>
      <w:r>
        <w:rPr>
          <w:rFonts w:ascii="Times New Roman" w:hAnsi="Times New Roman" w:cs="Times New Roman" w:eastAsia="Times New Roman"/>
          <w:b/>
          <w:i w:val="0"/>
          <w:color w:val="000000"/>
          <w:sz w:val="28"/>
        </w:rPr>
        <w:t>2.1. Склад апаратної частини та методика вибору</w:t>
      </w:r>
      <w:bookmarkEnd w:id="10"/>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Відповідно до архітектури ПР2 [3] апаратна частина рівня датчиків і мережевого рівня складається з чотирьох категорій обладнання: акустичних сенсорів (мікрофонних решіток) для 120 вузлів, малогабаритних РЛС для 4 секторів, тепловізійних модулів для 12 оптико-електронних постів і обчислювальних платформ для 9 периферійних шлюзів. Для кожної категорії розглянуто три вироби різних виробників або лінійок.</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Вибір виконано методом зважених оцінок. Для категорії визначено 5–6 критеріїв з вагами w_i (сума ваг дорівнює 1), кожен виріб оцінено за шкалою від 1 (найгірше) до 5 (найкраще) на підставі характеристик з джерел, підсумкова оцінка S = Σ w_i · b_i. Обирається виріб з найбільшим S; оцінки обґрунтовано в тексті кожного підрозділу.</w:t>
      </w:r>
    </w:p>
    <w:p>
      <w:pPr>
        <w:pStyle w:val="828"/>
        <w:keepNext/>
        <w:pageBreakBefore w:val="0"/>
        <w:widowControl/>
        <w:spacing w:line="360" w:lineRule="auto" w:before="120" w:after="120"/>
        <w:ind w:firstLine="709" w:left="0"/>
        <w:jc w:val="left"/>
      </w:pPr>
      <w:bookmarkStart w:id="11" w:name="_Toc000011"/>
      <w:r>
        <w:rPr>
          <w:rFonts w:ascii="Times New Roman" w:hAnsi="Times New Roman" w:cs="Times New Roman" w:eastAsia="Times New Roman"/>
          <w:b/>
          <w:i w:val="0"/>
          <w:color w:val="000000"/>
          <w:sz w:val="28"/>
        </w:rPr>
        <w:t>2.2. Акустичні сенсори (мікрофонні решітки)</w:t>
      </w:r>
      <w:bookmarkEnd w:id="1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Акустичний вузол визначає пеленг на джерело звуку двигуна повітряної цілі. Для цього потрібна решітка з кількох мікрофонів із синхронною дискретизацією та цифровим інтерфейсом до обчислювального модуля вузла. Характеристики кандидатів наведено в табл. 3.3, оцінки — в табл. 3.4.</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ReSpeaker 6-Mic</w:t>
      </w:r>
      <w:r>
        <w:rPr>
          <w:rFonts w:ascii="Times New Roman" w:hAnsi="Times New Roman" w:cs="Times New Roman" w:eastAsia="Times New Roman"/>
          <w:b w:val="0"/>
          <w:i w:val="0"/>
          <w:color w:val="000000"/>
          <w:sz w:val="28"/>
        </w:rPr>
        <w:t xml:space="preserve"> — плата розширення для Raspberry Pi з круговою решіткою із шести мікрофонів і двома АЦП AC108; частота дискретизації до 48 кГц, відношення сигнал/шум 59 дБ [15]. Рішення дешеве (39,90 дол.), але на сайті виробника позначене як зняте з виробництва й відсутнє на складі [16], що неприйнятно для серійних 120 вузлів.</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ReSpeaker USB Mic Array v2.0</w:t>
      </w:r>
      <w:r>
        <w:rPr>
          <w:rFonts w:ascii="Times New Roman" w:hAnsi="Times New Roman" w:cs="Times New Roman" w:eastAsia="Times New Roman"/>
          <w:b w:val="0"/>
          <w:i w:val="0"/>
          <w:color w:val="000000"/>
          <w:sz w:val="28"/>
        </w:rPr>
        <w:t xml:space="preserve"> — чотири цифрові мікрофони та процесор XMOS XVF-3000 з апаратним визначенням напрямку приходу звуку, придушенням шуму й луни; живлення від USB 5 В, 180 мА [17]. Обмеження — максимальна частота дискретизації 16 кГц і вбудовані алгоритми, призначені для мовлення (захоплення голосу на відстані, виявлення голосової активності) [17].</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miniDSP UMA-16 v2</w:t>
      </w:r>
      <w:r>
        <w:rPr>
          <w:rFonts w:ascii="Times New Roman" w:hAnsi="Times New Roman" w:cs="Times New Roman" w:eastAsia="Times New Roman"/>
          <w:b w:val="0"/>
          <w:i w:val="0"/>
          <w:color w:val="000000"/>
          <w:sz w:val="28"/>
        </w:rPr>
        <w:t xml:space="preserve"> — рівномірна прямокутна решітка з 16 мікрофонів Knowles SPH1668LM4H (сигнал/шум 65 дБ, перевантаження 120 дБ SPL), інтерфейс XMOS із передаванням усіх 16 «сирих» каналів через USB Audio Class 2.0 з роздільністю 24 біт і частотою до 48 кГц [18]. Виробник позиціонує її для розроблення алгоритмів формування діаграми спрямованості та акустичних камер [18], ціна — 199 дол. [19].</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3.3 — Характеристики: акустичні сенсори (мікрофонні решітки)</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9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Характеристика</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ReSpeaker 6-Mic</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ReSpeaker USB v2.0</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miniDSP UMA-16 v2</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Кількість мікрофонів</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 (кругова решітка)</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16 (прямокутна решітка)</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Мікрофони</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MSM321A3729H9CP</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ST MP34DT01TR-M</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Knowles SPH1668LM4H</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Частота дискретизації</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до 48 кГц</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до 16 кГц</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до 48 кГц, 24 біт</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Відношення сигнал/шум</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59 дБ</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61 дБ</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65 дБ</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Інтерфейс</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Плата розширення Raspberry Pi</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USB Audio Class 1.0</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USB Audio Class 2.0</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Обробка на платі</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Немає (АЦП AC108)</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XMOS XVF-3000: пеленг, придушення шуму</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XMOS: перетворення PDM у PCM</w:t>
            </w:r>
          </w:p>
        </w:tc>
      </w:tr>
      <w:tr>
        <w:trPr>
          <w:cantSplit w:val="true"/>
        </w:trPr>
        <w:tc>
          <w:tcPr>
            <w:tcW w:type="dxa" w:w="19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Ціна, стан постачання</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39,90 дол.; знято з виробництва</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Голосове призначення (алгоритми для мовлення)</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199 дол.; у виробництві</w:t>
            </w:r>
          </w:p>
        </w:tc>
      </w:tr>
    </w:tbl>
    <w:p>
      <w:pPr>
        <w:keepNext w:val="0"/>
        <w:widowControl/>
        <w:spacing w:line="240" w:lineRule="auto" w:before="0" w:after="0"/>
        <w:ind w:firstLine="0" w:left="0"/>
        <w:jc w:val="both"/>
      </w:pP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3.4 — Зважені оцінки: акустичні сенсори (мікрофонні решітки)</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val="true"/>
        </w:trPr>
        <w:tc>
          <w:tcPr>
            <w:tcW w:type="dxa" w:w="315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Критерій</w:t>
            </w:r>
          </w:p>
        </w:tc>
        <w:tc>
          <w:tcPr>
            <w:tcW w:type="dxa" w:w="93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Вага</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ReSpeaker 6-Mic</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ReSpeaker USB v2.0</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miniDSP UMA-16 v2</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Кількість мікрофонів (точність пеленгу)</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0,30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Частота дискретизації</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0,20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Інтеграція з обчислювальним модулем</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Вартість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Доступність постачання</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0,20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r>
      <w:tr>
        <w:trPr>
          <w:cantSplit w:val="true"/>
        </w:trPr>
        <w:tc>
          <w:tcPr>
            <w:tcW w:type="dxa" w:w="3157"/>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Зважена оцінка S</w:t>
            </w:r>
          </w:p>
        </w:tc>
        <w:tc>
          <w:tcPr>
            <w:tcW w:type="dxa" w:w="93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1,00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3,45</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3,15</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4,50</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xml:space="preserve">Найвищу оцінку отримала решітка </w:t>
      </w:r>
      <w:r>
        <w:rPr>
          <w:rFonts w:ascii="Times New Roman" w:hAnsi="Times New Roman" w:cs="Times New Roman" w:eastAsia="Times New Roman"/>
          <w:b/>
          <w:i w:val="0"/>
          <w:color w:val="000000"/>
          <w:sz w:val="28"/>
        </w:rPr>
        <w:t>miniDSP UMA-16 v2</w:t>
      </w:r>
      <w:r>
        <w:rPr>
          <w:rFonts w:ascii="Times New Roman" w:hAnsi="Times New Roman" w:cs="Times New Roman" w:eastAsia="Times New Roman"/>
          <w:b w:val="0"/>
          <w:i w:val="0"/>
          <w:color w:val="000000"/>
          <w:sz w:val="28"/>
        </w:rPr>
        <w:t>: 16 синхронних каналів з частотою 48 кГц дають найточніший пеленг, а стандартний інтерфейс USB Audio Class 2.0 працює без драйверів у Linux на обчислювальному модулі вузла. Обчислення пеленгу виконує Raspberry Pi 5 акустичного вузла. Підсумкова оцінка обраного виробу — 4,50.</w:t>
      </w:r>
    </w:p>
    <w:p>
      <w:pPr>
        <w:pStyle w:val="828"/>
        <w:keepNext/>
        <w:pageBreakBefore w:val="0"/>
        <w:widowControl/>
        <w:spacing w:line="360" w:lineRule="auto" w:before="120" w:after="120"/>
        <w:ind w:firstLine="709" w:left="0"/>
        <w:jc w:val="left"/>
      </w:pPr>
      <w:bookmarkStart w:id="12" w:name="_Toc000012"/>
      <w:r>
        <w:rPr>
          <w:rFonts w:ascii="Times New Roman" w:hAnsi="Times New Roman" w:cs="Times New Roman" w:eastAsia="Times New Roman"/>
          <w:b/>
          <w:i w:val="0"/>
          <w:color w:val="000000"/>
          <w:sz w:val="28"/>
        </w:rPr>
        <w:t>2.3. Радіолокаційні станції</w:t>
      </w:r>
      <w:bookmarkEnd w:id="1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Малогабаритна РЛС сектора виявляє низьколетючі малі цілі на дальності кількох кілометрів, передає треки через Ethernet і повинна швидко розгортатися. Характеристики кандидатів наведено в табл. 3.5, оцінки — в табл. 3.6.</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Echodyne EchoGuard</w:t>
      </w:r>
      <w:r>
        <w:rPr>
          <w:rFonts w:ascii="Times New Roman" w:hAnsi="Times New Roman" w:cs="Times New Roman" w:eastAsia="Times New Roman"/>
          <w:b w:val="0"/>
          <w:i w:val="0"/>
          <w:color w:val="000000"/>
          <w:sz w:val="28"/>
        </w:rPr>
        <w:t xml:space="preserve"> — компактна РЛС з електронним скануванням: сектор 120° × 80°, дальність щодо DJI Phantom 4 понад 1 км, оновлення треків до 10 Гц, маса 1,25 кг, споживання до 50 Вт, захист IP67, інтерфейс Gigabit Ethernet [20]. Добре підходить для захисту окремої позиції, але дальність і сектор замалі для покриття сектора центру.</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Robin Radar IRIS</w:t>
      </w:r>
      <w:r>
        <w:rPr>
          <w:rFonts w:ascii="Times New Roman" w:hAnsi="Times New Roman" w:cs="Times New Roman" w:eastAsia="Times New Roman"/>
          <w:b w:val="0"/>
          <w:i w:val="0"/>
          <w:color w:val="000000"/>
          <w:sz w:val="28"/>
        </w:rPr>
        <w:t xml:space="preserve"> — FMCW-радар X-діапазону з круговим оглядом 360° × 60°, інструментальною дальністю 5 км (12 км у режимі великої дальності), класифікацією за мікродоплерівськими ознаками з глибокою нейромережею, API для систем управління та роботою в русі [21]; маса 29 кг. Міністерство оборони Нідерландів закупило для України 51 мобільну РЛС IRIS — повторне замовлення після закупівлі 51 стаціонарної [22], тобто радар обрано для застосування саме в умовах атак дронів.</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Blighter A800</w:t>
      </w:r>
      <w:r>
        <w:rPr>
          <w:rFonts w:ascii="Times New Roman" w:hAnsi="Times New Roman" w:cs="Times New Roman" w:eastAsia="Times New Roman"/>
          <w:b w:val="0"/>
          <w:i w:val="0"/>
          <w:color w:val="000000"/>
          <w:sz w:val="28"/>
        </w:rPr>
        <w:t xml:space="preserve"> — тримодова FMCW AESA РЛС Ku-діапазону без рухомих частин: сектор 90° × 40°, інструментальна дальність 3,5, 10 або 20 км, споживання 130 Вт, маса близько 31 кг, IP66, два захищені інтерфейси Gigabit Ethernet і набір SDK [23]; мікро-БпЛА виявляє на дальності понад 2 км [24]. Вузький сектор потребує кількох РЛС на одну зону.</w:t>
      </w:r>
    </w:p>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3.5 — Характеристики: радіолокаційні станції</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9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Характеристика</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Echodyne EchoGuard</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Robin Radar IRIS</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Blighter A800</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Тип, діапазон</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ESA, K-діапазон</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FMCW, X-діапазон</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FMCW AESA, Ku-діапазон</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Сектор огляду</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120° × 80°</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360° × 60°</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90° × 40°</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Дальність щодо малих БпЛА</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&gt; 1 км (DJI Phantom 4)</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 км (1,4 кг), 4 км (3 кг); інструм. 5 км</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&gt; 2 км (мікро-БпЛА); інструм. до 20 км</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Темп оновлення</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Супровід до 10 Гц</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 с (30 об/хв)</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 с (сектор 90°)</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Маса, споживання</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1,25 кг; &lt; 50 Вт</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29 кг; 2 × 12 Вт (вихідна)</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31 кг; 130 Вт</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Інтерфейс</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Gigabit Ethernet</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API для систем управління</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 × Gigabit Ethernet, SDK</w:t>
            </w:r>
          </w:p>
        </w:tc>
      </w:tr>
      <w:tr>
        <w:trPr>
          <w:cantSplit w:val="true"/>
        </w:trPr>
        <w:tc>
          <w:tcPr>
            <w:tcW w:type="dxa" w:w="19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Захист, застосування</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IP67; −40…+75 °C</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Робота в русі; 51 мобільну закуплено для України</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IP66</w:t>
            </w:r>
          </w:p>
        </w:tc>
      </w:tr>
    </w:tbl>
    <w:p>
      <w:pPr>
        <w:keepNext w:val="0"/>
        <w:widowControl/>
        <w:spacing w:line="240" w:lineRule="auto" w:before="0" w:after="0"/>
        <w:ind w:firstLine="0" w:left="0"/>
        <w:jc w:val="both"/>
      </w:pP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3.6 — Зважені оцінки: радіолокаційні станції</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val="true"/>
        </w:trPr>
        <w:tc>
          <w:tcPr>
            <w:tcW w:type="dxa" w:w="315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Критерій</w:t>
            </w:r>
          </w:p>
        </w:tc>
        <w:tc>
          <w:tcPr>
            <w:tcW w:type="dxa" w:w="93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Вага</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Echodyne EchoGuard</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Robin Radar IRIS</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Blighter A800</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Дальність виявлення малих БпЛА</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0,30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Сектор огляду</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0,20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Мобільність (маса, живлення)</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0,20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Інтеграція (інтерфейс, API)</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Підтверджене застосування (закупівлі, повторні замовлення)</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3157"/>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Зважена оцінка S</w:t>
            </w:r>
          </w:p>
        </w:tc>
        <w:tc>
          <w:tcPr>
            <w:tcW w:type="dxa" w:w="93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1,00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3,25</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4,15</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3,20</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xml:space="preserve">Найвищу оцінку отримала РЛС </w:t>
      </w:r>
      <w:r>
        <w:rPr>
          <w:rFonts w:ascii="Times New Roman" w:hAnsi="Times New Roman" w:cs="Times New Roman" w:eastAsia="Times New Roman"/>
          <w:b/>
          <w:i w:val="0"/>
          <w:color w:val="000000"/>
          <w:sz w:val="28"/>
        </w:rPr>
        <w:t>Robin Radar IRIS</w:t>
      </w:r>
      <w:r>
        <w:rPr>
          <w:rFonts w:ascii="Times New Roman" w:hAnsi="Times New Roman" w:cs="Times New Roman" w:eastAsia="Times New Roman"/>
          <w:b w:val="0"/>
          <w:i w:val="0"/>
          <w:color w:val="000000"/>
          <w:sz w:val="28"/>
        </w:rPr>
        <w:t>: круговий огляд, дальність до 5 км і закупівля цих РЛС саме для України дозволяють чотирма РЛС покрити сектори центру. Компактна EchoGuard може доповнювати IRIS для локального прикриття окремих позицій у наступних інкрементах. Підсумкова оцінка обраного виробу — 4,15.</w:t>
      </w:r>
    </w:p>
    <w:p>
      <w:pPr>
        <w:pStyle w:val="828"/>
        <w:keepNext/>
        <w:pageBreakBefore w:val="0"/>
        <w:widowControl/>
        <w:spacing w:line="360" w:lineRule="auto" w:before="120" w:after="120"/>
        <w:ind w:firstLine="709" w:left="0"/>
        <w:jc w:val="left"/>
      </w:pPr>
      <w:bookmarkStart w:id="13" w:name="_Toc000013"/>
      <w:r>
        <w:rPr>
          <w:rFonts w:ascii="Times New Roman" w:hAnsi="Times New Roman" w:cs="Times New Roman" w:eastAsia="Times New Roman"/>
          <w:b/>
          <w:i w:val="0"/>
          <w:color w:val="000000"/>
          <w:sz w:val="28"/>
        </w:rPr>
        <w:t>2.4. Тепловізійні та оптико-електронні модулі</w:t>
      </w:r>
      <w:bookmarkEnd w:id="1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Оптико-електронний пост підтверджує ціль уночі та в денних умовах, тому потрібен тепловізійний модуль достатньої роздільної здатності, бажано з видимим каналом, і захищений конструктив. Характеристики кандидатів наведено в табл. 3.7, оцінки — в табл. 3.8.</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FLIR Lepton 3.5</w:t>
      </w:r>
      <w:r>
        <w:rPr>
          <w:rFonts w:ascii="Times New Roman" w:hAnsi="Times New Roman" w:cs="Times New Roman" w:eastAsia="Times New Roman"/>
          <w:b w:val="0"/>
          <w:i w:val="0"/>
          <w:color w:val="000000"/>
          <w:sz w:val="28"/>
        </w:rPr>
        <w:t xml:space="preserve"> — мікромодуль 160 × 120 пікселів з чутливістю &lt; 50 мК, частотою 8,7 Гц, споживанням 150 мВт, інтерфейсами SPI та I²C [25]; ціна 172 дол. [26]. Низька роздільна здатність і частота кадрів не дозволяють розпізнати малу ціль на дальності сотень метрів.</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FLIR Boson+ 640</w:t>
      </w:r>
      <w:r>
        <w:rPr>
          <w:rFonts w:ascii="Times New Roman" w:hAnsi="Times New Roman" w:cs="Times New Roman" w:eastAsia="Times New Roman"/>
          <w:b w:val="0"/>
          <w:i w:val="0"/>
          <w:color w:val="000000"/>
          <w:sz w:val="28"/>
        </w:rPr>
        <w:t xml:space="preserve"> — тепловізійне ядро 640 × 512 пікселів із чутливістю ≤ 20 мК, частотою 60 Гц, споживанням від 500 мВт, масою 7,5 г, вибором об’єктивів від 5,5° до 95° та інтерфейсами USB, CMOS або MIPI [27]. Найкращі параметри тепловізійного каналу, але ядро потребує власного корпусу та окремої денної камери.</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FLIR Hadron 640R</w:t>
      </w:r>
      <w:r>
        <w:rPr>
          <w:rFonts w:ascii="Times New Roman" w:hAnsi="Times New Roman" w:cs="Times New Roman" w:eastAsia="Times New Roman"/>
          <w:b w:val="0"/>
          <w:i w:val="0"/>
          <w:color w:val="000000"/>
          <w:sz w:val="28"/>
        </w:rPr>
        <w:t xml:space="preserve"> — подвійний модуль: тепловізійний канал на ядрі Boson+ 640 × 512 і видима камера 64 Мп, відеовихід 60 Гц через USB або MIPI, маса 56 г, споживання 1,8 Вт, захист IP54 [28]; ціна модуля — від 4 272 дол. [28].</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3.7 — Характеристики: тепловізійні та оптико-електронні модулі</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9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Характеристика</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FLIR Lepton 3.5</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FLIR Boson+ 640</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FLIR Hadron 640R</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Роздільна здатність</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160 × 120</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640 × 512</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640 × 512 + видимий 64 Мп</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Чутливість (NETD)</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&lt; 50 мК</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20 мК</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20 мК (ядро Boson+)</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Частота кадрів</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8,7 Гц</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60 Гц</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60 Гц</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Споживання, маса</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150 мВт</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 500 мВт; 7,5 г</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1,8 Вт; 56 г</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Інтерфейс</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SPI, I²C</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USB, CMOS, MIPI</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USB, MIPI</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Захист</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Модуль без корпусу</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Ядро камери</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IP54</w:t>
            </w:r>
          </w:p>
        </w:tc>
      </w:tr>
      <w:tr>
        <w:trPr>
          <w:cantSplit w:val="true"/>
        </w:trPr>
        <w:tc>
          <w:tcPr>
            <w:tcW w:type="dxa" w:w="19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Ціна</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172 дол.</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За запитом</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від 4 272 дол.</w:t>
            </w:r>
          </w:p>
        </w:tc>
      </w:tr>
    </w:tbl>
    <w:p>
      <w:pPr>
        <w:keepNext w:val="0"/>
        <w:widowControl/>
        <w:spacing w:line="240" w:lineRule="auto" w:before="0" w:after="0"/>
        <w:ind w:firstLine="0" w:left="0"/>
        <w:jc w:val="both"/>
      </w:pP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3.8 — Зважені оцінки: тепловізійні та оптико-електронні модулі</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val="true"/>
        </w:trPr>
        <w:tc>
          <w:tcPr>
            <w:tcW w:type="dxa" w:w="315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Критерій</w:t>
            </w:r>
          </w:p>
        </w:tc>
        <w:tc>
          <w:tcPr>
            <w:tcW w:type="dxa" w:w="93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Вага</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FLIR Lepton 3.5</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FLIR Boson+ 640</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FLIR Hadron 640R</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Роздільна здатність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0,30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Чутливість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Частота кадрів</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Захищеність конструктиву</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Інтеграція, видимий канал</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Вартість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3157"/>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Зважена оцінка S</w:t>
            </w:r>
          </w:p>
        </w:tc>
        <w:tc>
          <w:tcPr>
            <w:tcW w:type="dxa" w:w="93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1,00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2,00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4,20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4,55</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xml:space="preserve">Найвищу оцінку отримав модуль </w:t>
      </w:r>
      <w:r>
        <w:rPr>
          <w:rFonts w:ascii="Times New Roman" w:hAnsi="Times New Roman" w:cs="Times New Roman" w:eastAsia="Times New Roman"/>
          <w:b/>
          <w:i w:val="0"/>
          <w:color w:val="000000"/>
          <w:sz w:val="28"/>
        </w:rPr>
        <w:t>FLIR Hadron 640R</w:t>
      </w:r>
      <w:r>
        <w:rPr>
          <w:rFonts w:ascii="Times New Roman" w:hAnsi="Times New Roman" w:cs="Times New Roman" w:eastAsia="Times New Roman"/>
          <w:b w:val="0"/>
          <w:i w:val="0"/>
          <w:color w:val="000000"/>
          <w:sz w:val="28"/>
        </w:rPr>
        <w:t>: тепловізійний канал рівня Boson+ разом із видимою камерою в одному захищеному корпусі зменшує кількість пристроїв на посту й спрощує інтеграцію. Підсумкова оцінка обраного виробу — 4,55.</w:t>
      </w:r>
    </w:p>
    <w:p>
      <w:pPr>
        <w:pStyle w:val="828"/>
        <w:keepNext/>
        <w:pageBreakBefore w:val="0"/>
        <w:widowControl/>
        <w:spacing w:line="360" w:lineRule="auto" w:before="120" w:after="120"/>
        <w:ind w:firstLine="709" w:left="0"/>
        <w:jc w:val="left"/>
      </w:pPr>
      <w:bookmarkStart w:id="14" w:name="_Toc000014"/>
      <w:r>
        <w:rPr>
          <w:rFonts w:ascii="Times New Roman" w:hAnsi="Times New Roman" w:cs="Times New Roman" w:eastAsia="Times New Roman"/>
          <w:b/>
          <w:i w:val="0"/>
          <w:color w:val="000000"/>
          <w:sz w:val="28"/>
        </w:rPr>
        <w:t>2.5. Обчислювальна платформа периферійного шлюзу</w:t>
      </w:r>
      <w:bookmarkEnd w:id="1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Периферійний шлюз виконує адаптацію протоколів, локальне злиття треків, буферизацію до 4 год і аналіз відео, тому потрібна продуктивна платформа з апаратним прискоренням нейромереж. Характеристики кандидатів наведено в табл. 3.9, оцінки — в табл. 3.10.</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Raspberry Pi 5</w:t>
      </w:r>
      <w:r>
        <w:rPr>
          <w:rFonts w:ascii="Times New Roman" w:hAnsi="Times New Roman" w:cs="Times New Roman" w:eastAsia="Times New Roman"/>
          <w:b w:val="0"/>
          <w:i w:val="0"/>
          <w:color w:val="000000"/>
          <w:sz w:val="28"/>
        </w:rPr>
        <w:t xml:space="preserve"> — чотириядерний Cortex-A76 2,4 ГГц, 1–16 ГБ LPDDR4X, Gigabit Ethernet, PCIe 2.0, живлення 5 В / 5 А [29]; ціна 80 дол. за 8 ГБ [30]. Апаратного прискорення нейромереж немає, промислового температурного діапазону виробник не заявляє.</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NVIDIA Jetson Orin Nano Super</w:t>
      </w:r>
      <w:r>
        <w:rPr>
          <w:rFonts w:ascii="Times New Roman" w:hAnsi="Times New Roman" w:cs="Times New Roman" w:eastAsia="Times New Roman"/>
          <w:b w:val="0"/>
          <w:i w:val="0"/>
          <w:color w:val="000000"/>
          <w:sz w:val="28"/>
        </w:rPr>
        <w:t xml:space="preserve"> — шестиядерний Cortex-A78AE, графічний процесор Ampere на 1024 ядра з 32 тензорними ядрами, 8 ГБ пам’яті, режими живлення 7–25 Вт; після оновлення в грудні 2024 р. продуктивність зросла в 1,7 раза, а ціна набору розробника знизилася з 499 до 249 дол. [31].</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Siemens SIMATIC IOT2050</w:t>
      </w:r>
      <w:r>
        <w:rPr>
          <w:rFonts w:ascii="Times New Roman" w:hAnsi="Times New Roman" w:cs="Times New Roman" w:eastAsia="Times New Roman"/>
          <w:b w:val="0"/>
          <w:i w:val="0"/>
          <w:color w:val="000000"/>
          <w:sz w:val="28"/>
        </w:rPr>
        <w:t xml:space="preserve"> — промисловий шлюз на процесорі TI ARM (2 або 4 ядра), 1–2 ГБ оперативної пам’яті, 2 × Gigabit Ethernet, RS-232/485, mPCIe, живлення 24 В, робота за температури до +50 °C (варіант SM — від −20 °C), кріплення на DIN-рейку, захищене завантаження [32]. Надійний, але продуктивності недостатньо для аналізу відео.</w:t>
      </w:r>
    </w:p>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3.9 — Характеристики: обчислювальна платформа периферійного шлюзу</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9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Характеристика</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Raspberry Pi 5</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NVIDIA Jetson Orin Nano Super</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Siemens SIMATIC IOT2050</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Процесор</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 × Cortex-A76, 2,4 ГГц</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 × Cortex-A78AE; GPU 1024 ядра</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TI ARM, 2 або 4 ядра</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Прискорення ШІ</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Немає</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До 67 TOPS (INT8, розріджені)</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Немає</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Оперативна пам’ять</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1–16 ГБ</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 ГБ LPDDR5</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1–2 ГБ</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Живлення</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 В / 5 А (USB-C)</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Режими 7, 15, 25 Вт</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24 В DC (12…32 В)</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Умови експлуатації</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Діапазон не заявлено</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Набір розробника</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До +50 °C (SM: −20…+50 °C), DIN-рейка</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Інтерфейси</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Gigabit Ethernet, PCIe 2.0, Wi-Fi</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Gigabit Ethernet, M.2, USB 3</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 × Gigabit Ethernet, RS-485, mPCIe</w:t>
            </w:r>
          </w:p>
        </w:tc>
      </w:tr>
      <w:tr>
        <w:trPr>
          <w:cantSplit w:val="true"/>
        </w:trPr>
        <w:tc>
          <w:tcPr>
            <w:tcW w:type="dxa" w:w="19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Ціна</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80 дол. (8 ГБ)</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249 дол.</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За запитом</w:t>
            </w:r>
          </w:p>
        </w:tc>
      </w:tr>
    </w:tbl>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3.10 — Зважені оцінки: обчислювальна платформа периферійного шлюзу</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val="true"/>
        </w:trPr>
        <w:tc>
          <w:tcPr>
            <w:tcW w:type="dxa" w:w="315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Критерій</w:t>
            </w:r>
          </w:p>
        </w:tc>
        <w:tc>
          <w:tcPr>
            <w:tcW w:type="dxa" w:w="93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Вага</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Raspberry Pi 5</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Jetson Orin Nano Super</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SIMATIC IOT2050</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Обчислювальна продуктивність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0,30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Оперативна пам’ять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Енергоспоживання</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Промислове виконання</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0,20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Інтерфейси</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Вартість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3157"/>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Зважена оцінка S</w:t>
            </w:r>
          </w:p>
        </w:tc>
        <w:tc>
          <w:tcPr>
            <w:tcW w:type="dxa" w:w="93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1,00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3,40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3,85</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3,45</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xml:space="preserve">Найвищу оцінку отримала платформа </w:t>
      </w:r>
      <w:r>
        <w:rPr>
          <w:rFonts w:ascii="Times New Roman" w:hAnsi="Times New Roman" w:cs="Times New Roman" w:eastAsia="Times New Roman"/>
          <w:b/>
          <w:i w:val="0"/>
          <w:color w:val="000000"/>
          <w:sz w:val="28"/>
        </w:rPr>
        <w:t>NVIDIA Jetson Orin Nano Super</w:t>
      </w:r>
      <w:r>
        <w:rPr>
          <w:rFonts w:ascii="Times New Roman" w:hAnsi="Times New Roman" w:cs="Times New Roman" w:eastAsia="Times New Roman"/>
          <w:b w:val="0"/>
          <w:i w:val="0"/>
          <w:color w:val="000000"/>
          <w:sz w:val="28"/>
        </w:rPr>
        <w:t>: продуктивність до 67 TOPS (INT8) потрібна для локального злиття треків і аналізу відео з постів ОЕП. Нестачу промислового виконання компенсує захищений корпус з активним охолодженням і джерелом безперебійного живлення; SIMATIC IOT2050 залишається резервним варіантом для позицій без відеопостів. Для акустичних вузлів, де аналіз відео не потрібен, обрано Raspberry Pi 5 — найдешевшу з розглянутих платформ, продуктивності якої достатньо для обчислення пеленгу за 16 каналами решітки. Підсумкова оцінка обраного виробу — 3,85.</w:t>
      </w:r>
    </w:p>
    <w:p>
      <w:pPr>
        <w:pStyle w:val="828"/>
        <w:keepNext/>
        <w:pageBreakBefore w:val="0"/>
        <w:widowControl/>
        <w:spacing w:line="360" w:lineRule="auto" w:before="120" w:after="120"/>
        <w:ind w:firstLine="709" w:left="0"/>
        <w:jc w:val="left"/>
      </w:pPr>
      <w:bookmarkStart w:id="15" w:name="_Toc000015"/>
      <w:r>
        <w:rPr>
          <w:rFonts w:ascii="Times New Roman" w:hAnsi="Times New Roman" w:cs="Times New Roman" w:eastAsia="Times New Roman"/>
          <w:b/>
          <w:i w:val="0"/>
          <w:color w:val="000000"/>
          <w:sz w:val="28"/>
        </w:rPr>
        <w:t>2.6. Підсумковий склад апаратної частини</w:t>
      </w:r>
      <w:bookmarkEnd w:id="1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Обрані вироби та їх розміщення на рівнях архітектури ПР2 показано на рис. 3.1 і в табл. 3.11. Канали зв’язку (mesh-радіо, LTE, супутник) та модулі ГНСС для синхронізації часу вузлів обираються на етапі детального проектування разом з адміністраторами мережі центру.</w:t>
      </w:r>
    </w:p>
    <w:p>
      <w:pPr>
        <w:sectPr>
          <w:footerReference w:type="default" r:id="rId8"/>
          <w:headerReference w:type="default" r:id="rId9"/>
          <w:footnotePr/>
          <w:endnotePr/>
          <w:pgSz w:h="16838" w:w="11906"/>
          <w:pgMar w:top="1134" w:right="850" w:bottom="1134" w:left="1701" w:header="709" w:footer="709" w:gutter="0"/>
          <w:cols w:num="1" w:sep="0" w:space="708" w:equalWidth="1"/>
        </w:sectPr>
      </w:pPr>
    </w:p>
    <w:p>
      <w:pPr>
        <w:keepNext/>
        <w:widowControl/>
        <w:spacing w:line="240" w:lineRule="auto" w:before="120" w:after="0"/>
        <w:ind w:firstLine="0" w:left="0"/>
        <w:jc w:val="center"/>
      </w:pPr>
      <w:r>
        <w:drawing>
          <wp:inline xmlns:pic="http://schemas.openxmlformats.org/drawingml/2006/picture">
            <wp:extent cx="8600400" cy="5220143"/>
            <wp:docPr id="1" name="Picture 1"/>
            <wp:cNvGraphicFramePr>
              <a:graphicFrameLocks noChangeAspect="1"/>
            </wp:cNvGraphicFramePr>
            <a:graphic>
              <a:graphicData uri="http://schemas.openxmlformats.org/drawingml/2006/picture">
                <pic:pic>
                  <pic:nvPicPr>
                    <pic:cNvPr id="0" name="01_hardware.png"/>
                    <pic:cNvPicPr/>
                  </pic:nvPicPr>
                  <pic:blipFill>
                    <a:blip r:embed="rId14"/>
                    <a:stretch>
                      <a:fillRect/>
                    </a:stretch>
                  </pic:blipFill>
                  <pic:spPr>
                    <a:xfrm>
                      <a:off x="0" y="0"/>
                      <a:ext cx="8600400" cy="5220143"/>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3.1 — Склад апаратної частини «Щит-Лінк» за рівнями архітектури</w:t>
      </w:r>
    </w:p>
    <w:p>
      <w:pPr>
        <w:sectPr>
          <w:footnotePr/>
          <w:endnotePr/>
          <w:pgSz w:h="11906" w:w="16838" w:orient="landscape"/>
          <w:pgMar w:top="1701" w:right="1134" w:bottom="850" w:left="1134" w:header="709" w:footer="709" w:gutter="0"/>
          <w:cols w:num="1" w:sep="0" w:space="708" w:equalWidth="1"/>
        </w:sectPr>
      </w:pP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3.11 — Обране обладнання</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2222"/>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Категорія</w:t>
            </w:r>
          </w:p>
        </w:tc>
        <w:tc>
          <w:tcPr>
            <w:tcW w:type="dxa" w:w="2339"/>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Обраний виріб</w:t>
            </w:r>
          </w:p>
        </w:tc>
        <w:tc>
          <w:tcPr>
            <w:tcW w:type="dxa" w:w="935"/>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К-сть</w:t>
            </w:r>
          </w:p>
        </w:tc>
        <w:tc>
          <w:tcPr>
            <w:tcW w:type="dxa" w:w="3859"/>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Призначення</w:t>
            </w:r>
          </w:p>
        </w:tc>
      </w:tr>
      <w:tr>
        <w:trPr>
          <w:cantSplit w:val="true"/>
        </w:trPr>
        <w:tc>
          <w:tcPr>
            <w:tcW w:type="dxa" w:w="222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Мікрофонна решітка</w:t>
            </w:r>
          </w:p>
        </w:tc>
        <w:tc>
          <w:tcPr>
            <w:tcW w:type="dxa" w:w="23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miniDSP UMA-16 v2</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120</w:t>
            </w:r>
          </w:p>
        </w:tc>
        <w:tc>
          <w:tcPr>
            <w:tcW w:type="dxa" w:w="385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Пеленгування акустичних сигнатур на вузлі</w:t>
            </w:r>
          </w:p>
        </w:tc>
      </w:tr>
      <w:tr>
        <w:trPr>
          <w:cantSplit w:val="true"/>
        </w:trPr>
        <w:tc>
          <w:tcPr>
            <w:tcW w:type="dxa" w:w="222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Обчислювальний модуль вузла</w:t>
            </w:r>
          </w:p>
        </w:tc>
        <w:tc>
          <w:tcPr>
            <w:tcW w:type="dxa" w:w="23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Raspberry Pi 5</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120</w:t>
            </w:r>
          </w:p>
        </w:tc>
        <w:tc>
          <w:tcPr>
            <w:tcW w:type="dxa" w:w="385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Обчислення пеленгу, передавання за MQTT 5</w:t>
            </w:r>
          </w:p>
        </w:tc>
      </w:tr>
      <w:tr>
        <w:trPr>
          <w:cantSplit w:val="true"/>
        </w:trPr>
        <w:tc>
          <w:tcPr>
            <w:tcW w:type="dxa" w:w="222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РЛС сектора</w:t>
            </w:r>
          </w:p>
        </w:tc>
        <w:tc>
          <w:tcPr>
            <w:tcW w:type="dxa" w:w="23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Robin Radar IRIS</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385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Круговий огляд сектора, треки через API</w:t>
            </w:r>
          </w:p>
        </w:tc>
      </w:tr>
      <w:tr>
        <w:trPr>
          <w:cantSplit w:val="true"/>
        </w:trPr>
        <w:tc>
          <w:tcPr>
            <w:tcW w:type="dxa" w:w="222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Тепловізійний модуль</w:t>
            </w:r>
          </w:p>
        </w:tc>
        <w:tc>
          <w:tcPr>
            <w:tcW w:type="dxa" w:w="23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FLIR Hadron 640R</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12</w:t>
            </w:r>
          </w:p>
        </w:tc>
        <w:tc>
          <w:tcPr>
            <w:tcW w:type="dxa" w:w="385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Підтвердження цілі вдень і вночі</w:t>
            </w:r>
          </w:p>
        </w:tc>
      </w:tr>
      <w:tr>
        <w:trPr>
          <w:cantSplit w:val="true"/>
        </w:trPr>
        <w:tc>
          <w:tcPr>
            <w:tcW w:type="dxa" w:w="2222"/>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Платформа шлюзу</w:t>
            </w:r>
          </w:p>
        </w:tc>
        <w:tc>
          <w:tcPr>
            <w:tcW w:type="dxa" w:w="233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Jetson Orin Nano Super</w:t>
            </w:r>
          </w:p>
        </w:tc>
        <w:tc>
          <w:tcPr>
            <w:tcW w:type="dxa" w:w="93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9 + 2</w:t>
            </w:r>
          </w:p>
        </w:tc>
        <w:tc>
          <w:tcPr>
            <w:tcW w:type="dxa" w:w="385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Адаптери, локальне злиття, буфер, аналіз відео</w:t>
            </w:r>
          </w:p>
        </w:tc>
      </w:tr>
    </w:tbl>
    <w:p>
      <w:pPr>
        <w:pStyle w:val="827"/>
        <w:keepNext/>
        <w:pageBreakBefore/>
        <w:widowControl/>
        <w:spacing w:line="360" w:lineRule="auto" w:before="240" w:after="240"/>
        <w:ind w:firstLine="0" w:left="0"/>
        <w:jc w:val="center"/>
      </w:pPr>
      <w:bookmarkStart w:id="16" w:name="_Toc000016"/>
      <w:r>
        <w:rPr>
          <w:rFonts w:ascii="Times New Roman" w:hAnsi="Times New Roman" w:cs="Times New Roman" w:eastAsia="Times New Roman"/>
          <w:b/>
          <w:i w:val="0"/>
          <w:color w:val="000000"/>
          <w:sz w:val="28"/>
        </w:rPr>
        <w:t>ВИСНОВКИ</w:t>
      </w:r>
      <w:bookmarkEnd w:id="1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У роботі розглянуто п’ять програмних аналогів і дванадцять апаратних виробів чотирьох категорій та сформульовано загальне рішення для IoT-платформи «Щит-Лінк».</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Програмні аналоги DELTA, DedroneTracker.AI, Flightradar24, ThingsBoard і QGroundControl порівняно за 9 критеріями чотирьох груп. Жоден з них не задовольняє всіх вимог: спеціалізовані системи закриті та прив’язані до хмари чи комерційної ліцензії, а відкриті платформи не мають предметної логіки. Це обґрунтовує створення власного продукту.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Від аналогів запозичено: модульну побудову навколо карти обстановки та офлайн-клієнт (DELTA), злиття різнотипних датчиків та інтеграцію обладнання різних виробників (DedroneTracker.AI), мережу недорогих датчиків з визначенням координат кількома вузлами (Flightradar24), периферійний вузол з автосинхронізацією (ThingsBoard), роботу з протоколом MAVLink (QGroundControl).</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Методом зважених оцінок обрано обладнання: мікрофонні решітки miniDSP UMA-16 v2 з модулями Raspberry Pi 5 для акустичних вузлів, РЛС Robin Radar IRIS, тепловізійні модулі FLIR Hadron 640R для постів ОЕП і платформу Jetson Orin Nano Super для периферійних шлюзів.</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Загальне рішення.</w:t>
      </w:r>
      <w:r>
        <w:rPr>
          <w:rFonts w:ascii="Times New Roman" w:hAnsi="Times New Roman" w:cs="Times New Roman" w:eastAsia="Times New Roman"/>
          <w:b w:val="0"/>
          <w:i w:val="0"/>
          <w:color w:val="000000"/>
          <w:sz w:val="28"/>
        </w:rPr>
        <w:t xml:space="preserve"> Апаратна частина — 120 акустичних вузлів на мікрофонних решітках, 4 РЛС кругового огляду, 12 постів ОЕП з подвійними тепловізійно-видимими модулями та 9 периферійних шлюзів з апаратним прискоренням нейромереж. Програмна частина — власна IoT-платформа з подієво-орієнтованим ядром на власних серверах, периферійними шлюзами, що працюють автономно, сервісами злиття треків, класифікації та супроводу місій, веб-АРМ і мобільним застосунком. Обладнання підключається через стандартні інтерфейси (USB Audio, Ethernet API, MAVLink 2), тому заміна виробника потребує лише нового адаптера протоколу на шлюзі.</w:t>
      </w:r>
    </w:p>
    <w:p>
      <w:pPr>
        <w:pStyle w:val="827"/>
        <w:keepNext/>
        <w:pageBreakBefore/>
        <w:widowControl/>
        <w:spacing w:line="360" w:lineRule="auto" w:before="240" w:after="240"/>
        <w:ind w:firstLine="0" w:left="0"/>
        <w:jc w:val="center"/>
      </w:pPr>
      <w:bookmarkStart w:id="17" w:name="_Toc000017"/>
      <w:r>
        <w:rPr>
          <w:rFonts w:ascii="Times New Roman" w:hAnsi="Times New Roman" w:cs="Times New Roman" w:eastAsia="Times New Roman"/>
          <w:b/>
          <w:i w:val="0"/>
          <w:color w:val="000000"/>
          <w:sz w:val="28"/>
        </w:rPr>
        <w:t>СПИСОК ВИКОРИСТАНИХ ДЖЕРЕЛ</w:t>
      </w:r>
      <w:bookmarkEnd w:id="17"/>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 Практична робота 3. Опис існуючих програмних та апаратних рішень : завдання з дисципліни «Технології створення програмних продуктів».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 Кравченко П. Збір та документування вимог для програмного продукту : звіт з практичної роботи № 1 з дисципліни «Технології створення програмних продуктів». Київ : КНУ імені Тараса Шевченка, 2026. 42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3. Кравченко П. Архітектура IoT екосистеми : звіт з практичної роботи № 2 з дисципліни «Технології створення програмних продуктів». Київ : КНУ імені Тараса Шевченка, 2026. 24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4. ДСТУ 3008:2015. Інформація та документація. Звіти у сфері науки і техніки. Структура та правила оформлювання. Київ : ДП «УкрНДНЦ», 2016. 26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5. DELTA : Open Wiki / Міністерство оборони України. URL: https://delta.mil.gov.ua/open-wiki/en/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6. Delta (situational awareness system). Wikipedia : вільна енциклопедія. URL: https://en.wikipedia.org/wiki/Delta_(situational_awareness_system)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7. DedroneTracker.AI: drone detection software / Dedrone. URL: https://www.dedrone.com/products/drone-detection-software (дата звернення: 24.10.2026).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8. How does Flightradar24 work? / Flightradar24 Support. URL: https://support.fr24.com/support/solutions/articles/3000117422-how-does-flightradar24-work-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9. Flightradar24 now has over 50,000 active data sharers around the world / Flightradar24 Blog. URL: https://www.flightradar24.com/blog/inside-flightradar24/flightradar24-now-has-over-50000-active-data-sharers-around-the-world/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10. Apply for a free ADS-B receiver / Flightradar24. URL: https://www.flightradar24.com/apply-for-receiver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11. ThingsBoard Edge / ThingsBoard. URL: https://thingsboard.io/products/thingsboard-edge/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12. QGroundControl : ground control station for the MAVLink protocol. URL: https://qgroundcontrol.com/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13. QGroundControl User Guide. Quick Start. URL: https://docs.qgroundcontrol.com/master/en/qgc-user-guide/getting_started/quick_start.html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14. QGroundControl User Guide. Fly View. URL: https://docs.qgroundcontrol.com/master/en/qgc-user-guide/fly_view/fly_view.html (дата звернення: 24.10.2026).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15. ReSpeaker 6-Mic Circular Array Kit for Raspberry Pi / Seeed Studio Wiki. URL: https://wiki.seeedstudio.com/ReSpeaker_6-Mic_Circular_Array_kit_for_Raspberry_Pi/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16. ReSpeaker 6-Mic Circular Array Kit for Raspberry Pi / Seeed Studio. URL: https://www.seeedstudio.com/ReSpeaker-6-Mic-Circular-Array-Kit-for-Raspberry-Pi.html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17. ReSpeaker Mic Array v2.0 / Seeed Studio Wiki. URL: https://wiki.seeedstudio.com/ReSpeaker_Mic_Array_v2.0/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18. UMA-16 v2 Microphone Array : product brief / miniDSP. URL: https://www.minidsp.com/images/documents/Product%20Brief-UMA16%20v2.pdf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19. UMA-16 v2 USB mic array / miniDSP. URL: https://www.minidsp.com/products/usb-audio-interface/uma-16-microphone-array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20. Echodyne radar products : product overview (EchoGuard, EchoShield). URL: https://www.elimec.co.il/_Uploads/dbsAttachedFiles/ECHProduct.pdf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21. IRIS Drone Radar / Robin Radar Systems. URL: https://www.robinradar.com/products/iris-radar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22. Netherlands Buys 51 Mobile Drone Detection Radars for Ukraine / The Defense Post. 27.08.2024. URL: https://thedefensepost.com/2024/08/27/netherlands-drone-detection-radars/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23. A800 3D Drone Detection Radar : datasheet / Blighter Surveillance Systems. URL: https://www.radartutorial.eu/19.kartei/05.perimeter/pubs/blighter-a800-3d-drone-detection-radar-datasheet.pdf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24. Blighter A800 «detects micro-UAS at over 2,000 metres» / Unmanned Airspace. 26.09.2023. URL: https://www.unmannedairspace.info/counter-uas-systems-and-policies/blighter-a800-detects-micro-uas-at-over-2000-metres/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25. FLIR Lepton 3 &amp; 3.5 : datasheet / Teledyne FLIR. URL: https://groupgets-files.s3.amazonaws.com/lepton/Resources/Lepton%20Series%20Datasheet.pdf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26. Lepton Micro Thermal Camera / Teledyne FLIR OEM. URL: https://oem.flir.com/developer/lepton-family/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27. Boson+ / Teledyne FLIR OEM. URL: https://oem.flir.com/products/boson-plus/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28. Teledyne FLIR Hadron 640R : dual thermal and visible OEM camera module / OEMCameras. URL: https://www.oemcameras.com/hadron-640r.htm (дата звернення: 24.10.2026).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29. Raspberry Pi 5 / Raspberry Pi Ltd. URL: https://www.raspberrypi.com/products/raspberry-pi-5/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30. Introducing: Raspberry Pi 5! / Raspberry Pi Ltd. 28.09.2023. URL: https://www.raspberrypi.com/news/introducing-raspberry-pi-5/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31. Nvidia Jetson. Wikipedia : вільна енциклопедія. URL: https://en.wikipedia.org/wiki/Nvidia_Jetson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32. SIMATIC IOT2050 : overview / Siemens, Parmley Graham. URL: https://www.parmley-graham.co.uk/content/manufacturers/siemens/industrial-iot-gateway/simatic-iot2050-ov/ (дата звернення: 04.10.2026).</w:t>
      </w:r>
    </w:p>
    <w:sectPr>
      <w:footnotePr/>
      <w:endnotePr/>
      <w:pgSz w:h="16838"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ind w:firstLine="0" w:left="0"/>
      <w:jc w:val="center"/>
    </w:pPr>
    <w:r>
      <w:rPr>
        <w:rFonts w:ascii="Times New Roman" w:hAnsi="Times New Roman" w:cs="Times New Roman" w:eastAsia="Times New Roman"/>
        <w:color w:val="00000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uk-UA"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Times New Roman" w:hAnsi="Times New Roman" w:cs="Times New Roman" w:eastAsia="Times New Roman"/>
      <w:b/>
      <w:color w:val="000000"/>
      <w:sz w:val="28"/>
      <w:szCs w:val="28"/>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Times New Roman" w:hAnsi="Times New Roman" w:cs="Times New Roman" w:eastAsia="Times New Roman"/>
      <w:b/>
      <w:color w:val="000000"/>
      <w:sz w:val="28"/>
      <w:szCs w:val="28"/>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Times New Roman" w:hAnsi="Times New Roman" w:cs="Times New Roman" w:eastAsia="Times New Roman"/>
      <w:b/>
      <w:color w:val="000000"/>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rPr>
      <w:rFonts w:ascii="Times New Roman" w:hAnsi="Times New Roman" w:cs="Times New Roman" w:eastAsia="Times New Roman"/>
      <w:color w:val="000000"/>
      <w:sz w:val="28"/>
      <w:szCs w:val="28"/>
    </w:rPr>
  </w:style>
  <w:style w:type="paragraph" w:styleId="875">
    <w:name w:val="toc 2"/>
    <w:basedOn w:val="886"/>
    <w:next w:val="886"/>
    <w:uiPriority w:val="39"/>
    <w:unhideWhenUsed/>
    <w:pPr>
      <w:pBdr/>
      <w:spacing w:after="100"/>
      <w:ind w:left="220"/>
    </w:pPr>
    <w:rPr>
      <w:rFonts w:ascii="Times New Roman" w:hAnsi="Times New Roman" w:cs="Times New Roman" w:eastAsia="Times New Roman"/>
      <w:color w:val="000000"/>
      <w:sz w:val="28"/>
      <w:szCs w:val="28"/>
    </w:r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Петро Кравченко</dc:creator>
  <cp:revision>3</cp:revision>
  <dcterms:modified xsi:type="dcterms:W3CDTF">2026-10-04T07:49:39Z</dcterms:modified>
  <dc:title>Практична робота №3. Опис існуючих програмних та апаратних рішень</dc:title>
  <dc:subject>Технології створення програмних продуктів</dc:subject>
  <dc:language>uk-UA</dc:language>
</cp:coreProperties>
</file>