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Практична робота №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Технології створення програмних продуктів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Проектування системи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Кравченко Ольга Віталіївна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keepNext w:val="0"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ЗМІСТ</w:t>
      </w:r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000001" w:history="1">
        <w:r>
          <w:rPr>
            <w:rFonts w:ascii="Times New Roman" w:hAnsi="Times New Roman" w:cs="Times New Roman"/>
            <w:sz w:val="28"/>
            <w:szCs w:val="28"/>
          </w:rPr>
          <w:t xml:space="preserve">1. МЕТА ТА ЗАВДАННЯ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2" w:history="1">
        <w:r>
          <w:rPr>
            <w:rFonts w:ascii="Times New Roman" w:hAnsi="Times New Roman" w:cs="Times New Roman"/>
            <w:sz w:val="28"/>
            <w:szCs w:val="28"/>
          </w:rPr>
          <w:t xml:space="preserve">2. ПРОЕКТУВАННЯ СИСТЕМИ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3" w:history="1">
        <w:r>
          <w:rPr>
            <w:rFonts w:ascii="Times New Roman" w:hAnsi="Times New Roman" w:cs="Times New Roman"/>
            <w:sz w:val="28"/>
            <w:szCs w:val="28"/>
          </w:rPr>
          <w:t xml:space="preserve">2.1. Моделювання області застосування в нотації BPMN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4" w:history="1">
        <w:r>
          <w:rPr>
            <w:rFonts w:ascii="Times New Roman" w:hAnsi="Times New Roman" w:cs="Times New Roman"/>
            <w:sz w:val="28"/>
            <w:szCs w:val="28"/>
          </w:rPr>
          <w:t xml:space="preserve">2.2. Функціональна модель системи в нотації IDEF0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5" w:history="1">
        <w:r>
          <w:rPr>
            <w:rFonts w:ascii="Times New Roman" w:hAnsi="Times New Roman" w:cs="Times New Roman"/>
            <w:sz w:val="28"/>
            <w:szCs w:val="28"/>
          </w:rPr>
          <w:t xml:space="preserve">2.3. Концептуальна модель системи в нотації UML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6" w:history="1">
        <w:r>
          <w:rPr>
            <w:rFonts w:ascii="Times New Roman" w:hAnsi="Times New Roman" w:cs="Times New Roman"/>
            <w:sz w:val="28"/>
            <w:szCs w:val="28"/>
          </w:rPr>
          <w:t xml:space="preserve">2.4. Логічна модель системи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7" w:history="1">
        <w:r>
          <w:rPr>
            <w:rFonts w:ascii="Times New Roman" w:hAnsi="Times New Roman" w:cs="Times New Roman"/>
            <w:sz w:val="28"/>
            <w:szCs w:val="28"/>
          </w:rPr>
          <w:t xml:space="preserve">2.5. Фізична модель системи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8" w:history="1">
        <w:r>
          <w:rPr>
            <w:rFonts w:ascii="Times New Roman" w:hAnsi="Times New Roman" w:cs="Times New Roman"/>
            <w:sz w:val="28"/>
            <w:szCs w:val="28"/>
          </w:rPr>
          <w:t xml:space="preserve">2.6. Реалізація моделей у CASE-засобах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9" w:history="1">
        <w:r>
          <w:rPr>
            <w:rFonts w:ascii="Times New Roman" w:hAnsi="Times New Roman" w:cs="Times New Roman"/>
            <w:sz w:val="28"/>
            <w:szCs w:val="28"/>
          </w:rPr>
          <w:t xml:space="preserve">ВИСНОВКИ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0" w:history="1">
        <w:r>
          <w:rPr>
            <w:rFonts w:ascii="Times New Roman" w:hAnsi="Times New Roman" w:cs="Times New Roman"/>
            <w:sz w:val="28"/>
            <w:szCs w:val="28"/>
          </w:rPr>
          <w:t xml:space="preserve">СПИСОК ВИКОРИСТАНИХ ДЖЕРЕЛ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МЕТА ТА ЗАВДАННЯ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виконати проектування програмної системи засобами нотацій BPMN, IDEF0 та UML: описати область застосування, бізнес-процеси й функції системи, а також структуру та взаємозв’язок її вузлів і модулів на концептуальному, логічному та фізичному рівнях.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Завдання роботи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[1]: підготувати розділ «Проектування системи» проектної роботи з діаграмами BPMN, UML та IDEF, що описують область застосування системи та взаємозв’язок вузлів і модулів; кожен рисунок детально описати технічною мовою від третьої особи. Структуру розділу побудовано за зразком опису діаграм [2]: від концептуальної моделі предметної області до логічної та фізичної моделей. Поєднання нотацій UML, BPMN та IDEF0 для проектування IoT-систем застосовують і в роботах кафедри [3].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Об’єкт проектування — IoT-платформа «Щит-Лінк» на тему «Розподілена IoT-система цілевказівки та координації дронів для перехоплення повітряних цілей». Вимоги до системи визначено в практичній роботі № 1 [4], архітектуру IoT-рішення — у практичній роботі № 2 [5], склад обладнання — у практичній роботі № 3 [6]. Звіт оформлено відповідно до ДСТУ 3008:2015 [7].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Примітка: РЦПДО «Щит-Північ» і IoT-платформа «Щит-Лінк» є навчальними умовними моделями; усі назви, процеси та показники наведено суто з навчально-ілюстративною метою.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Склад моделей розділу наведено в табл. 4.1. Відповідно до технології RUP діаграми прецедентів визначають функції системи, діаграми діяльності — сценарії роботи користувача, діаграми класів — модель даних, діаграми послідовності й кооперації — модель проекту, діаграми компонентів і розгортання — моделі реалізації та розміщення [8].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4.1 — Склад моделей розділу «Проектування системи»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Рівень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Нотація, діаграма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Що моделює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Рисунки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Область застосування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BPMN: діаграми процесів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Бізнес-процеси центру з участю системи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4.1, 4.2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Функції системи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IDEF0: контекстна діаграма та декомпозиція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Функції, потоки даних і вузли-механізми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4.3, 4.4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Концептуальна модель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UML: прецедентів, станів, класів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Призначення системи, життєвий цикл місії, словник предметної області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4.5–4.7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Логічна модель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UML: діяльності, послідовності, кооперації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Алгоритм і взаємодію об’єктів у сценарії призначення розрахунку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4.8–4.10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Фізична модель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UML: класів, компонентів, розгортання</w:t>
            </w:r>
          </w:p>
        </w:tc>
        <w:tc>
          <w:tcPr>
            <w:tcW w:type="dxa" w:w="350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Схему даних, модулі та вузли системи</w:t>
            </w:r>
          </w:p>
        </w:tc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4.11–4.13</w:t>
            </w:r>
          </w:p>
        </w:tc>
      </w:tr>
      <w:tr>
        <w:trPr>
          <w:cantSplit w:val="true"/>
        </w:trPr>
        <w:tc>
          <w:tcPr>
            <w:tcW w:type="dxa" w:w="17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Реалізація моделей</w:t>
            </w:r>
          </w:p>
        </w:tc>
        <w:tc>
          <w:tcPr>
            <w:tcW w:type="dxa" w:w="257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CASE-засоби, генерація SQL DDL</w:t>
            </w:r>
          </w:p>
        </w:tc>
        <w:tc>
          <w:tcPr>
            <w:tcW w:type="dxa" w:w="350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Засоби побудови моделей, обробку моделей і генерацію схеми БД</w:t>
            </w:r>
          </w:p>
        </w:tc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4.14, 4.15</w:t>
            </w:r>
          </w:p>
        </w:tc>
      </w:tr>
    </w:tbl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ПРОЕКТУВАННЯ СИСТЕМИ</w:t>
      </w:r>
      <w:bookmarkEnd w:id="2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3" w:name="_Toc00000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Моделювання області застосування в нотації BPMN</w:t>
      </w:r>
      <w:bookmarkEnd w:id="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Нотація BPMN (Business Process Model and Notation) описує бізнес-процес як послідовність подій, дій і логічних операторів (шлюзів), розподілених за учасниками. Пул відображає учасника процесу, доріжки всередині пулу — ролі або підсистеми; суцільні стрілки позначають потік управління всередині пулу, пунктирні — потоки повідомлень між пулами. Нижче наведено дві моделі «як буде» (TO-BE), у яких IoT-платформа «Щит-Лінк» виконує частину дій автоматично, а рішення залишаються за людьми.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2.1.1. Процес формування повітряної обстановки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Процес формування повітряної обстановки (рис. 4.1) розпочинається стартовою подією-повідомленням «Виявлення надійшло»: згорнутий пул «Сенсорна мережа» надсилає повідомлення «Виявлення». Пул центру має три доріжки: «Периферійний шлюз», «IoT-ядро» та «Аналітик обстановки». Сервісне завдання шлюзу «Перевірити джерело й нормалізувати» автентифікує сенсор за сертифікатом і перетворює дані в канонічну модель. Виключний шлюз «Дані коректні?» відкидає некоректні повідомлення (кінцева подія «Відхилено»), а коректні передає до IoT-ядра.</w:t>
      </w:r>
    </w:p>
    <w:p>
      <w:pPr>
        <w:sectPr>
          <w:footerReference w:type="default" r:id="rId8"/>
          <w:headerReference w:type="default" r:id="rId9"/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5143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pmn_pi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514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4.1 — BPMN-модель процесу формування повітряної обстановки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доріжці «IoT-ядро» сервісне завдання «Злити виявлення в трек» оновлює повітряний трек і записує його до сховища треків (об’єкт даних), після чого завдання «Запропонувати тип і оцінити загрозу» формує підказку класифікатора та оцінку загрози. Рішення про належність цілі ухвалює людина: користувацьке завдання «Підтвердити класифікацію» в доріжці аналітика завершується шлюзом «Ворожа ціль?». Ворожа ціль потрапляє в чергу на перехоплення (кінцева подія-повідомлення «Ціль у черзі»), інші треки залишаються під спостереженням. Модель реалізує функціональні вимоги FR-02, FR-04, FR-05 та FR-06 [4].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2.1.2. Процес призначення розрахунку та санкціонування пуску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Другий процес (рис. 4.2) запускається повідомленням «Ціль у черзі», яке формує попередній процес. IoT-ядро автоматично підбирає розрахунки-кандидати та перевіряє деконфлікцію з планами польотів дружньої авіації і зонами заборони ураження. Офіцер бойового управління виконує користувацьке завдання «Обрати розрахунок», після чого оперативний черговий виконує завдання «Санкціонувати пуск».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5196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pmn_tas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5196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4.2 — BPMN-модель процесу призначення розрахунку та санкціонування пуску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Шлюз «Санкцію надано?» розділяє потік: за відмови процес завершується подією «Місію відхилено», а після санкції проміжна подія-повідомлення «Завдання надіслано» передає бойове завдання до згорнутого пулу «Розрахунок перехоплювачів». Від розрахунку надходить телеметрія, яку використовує сервісне завдання «Супроводжувати місію»; процес завершується подією «Місію закрито». Розподіл дій між доріжками відображає принцип «людина в контурі»: система готує рішення, а обирає розрахунок і санкціонує пуск персонал (вимоги FR-08–FR-12, NFR-16 [4]).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4" w:name="_Toc00000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Функціональна модель системи в нотації IDEF0</w:t>
      </w:r>
      <w:bookmarkEnd w:id="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IDEF0 — методологія функціонального моделювання, в основі якої лежить поняття блоку, що відображає функцію; ліва сторона блоку означає вхід, права — вихід, верхня — управління, нижня — механізм [9]. Модель будується за принципами функціональної декомпозиції, обмеження складності (від двох до шести блоків на діаграмі) та контексту: спочатку будується контекстна діаграма з одним блоком, що фіксує межі системи [9]. Діаграми верхнього рівня називають батьківськими, а діаграми декомпозиції — дочірніми [10]. На відміну від моделі організації, тут модель побудовано з точки зору архітектора системи: механізмами є вузли самої системи.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2.2.1. Контекстна діаграма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Контекстна діаграма (рис. 4.3) містить один блок A-0 «Забезпечити обмін телеметрією та координацію перехоплення». Входами системи є дані сенсорів і телеметрія перехоплювачів, а також рішення персоналу КП (класифікація, вибір розрахунку, санкції). Управління задають правила застосування, плани польотів дружньої авіації та вимоги захисту інформації. Виходи — повітряна обстановка, бойові завдання розрахункам, звіти та сповіщення. Механізмами є три групи вузлів архітектури ПР2 [5]: периферійні шлюзи, IoT-ядро та застосунки. У текстовому блоці зафіксовано мету моделювання та точку зору.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3854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f0_ct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38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4.3 — Контекстна діаграма IDEF0 системи «Щит-Лінк»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Розподіл межових стрілок за сторонами блоку визначає межі відповідальності системи. Стрілки входу відображають те, що система перетворює: потік повідомлень від сенсорів і перехоплювачів надходить без участі людини, тоді як рішення персоналу КП вводяться через автоматизовані робочі місця (АРМ). Стрілки управління не змінюються під час виконання функції, а лише обмежують її: правила застосування задають умови, за яких ціль може бути призначена на перехоплення, плани польотів дружньої авіації — простір, у якому призначення заборонене, вимоги захисту інформації — порядок автентифікації джерел і доступу користувачів. Стрілки виходу описують результати, що споживаються поза межами системи: повітряну обстановку переглядає персонал КП, бойові завдання отримують розрахунки перехоплювачів, звіти й сповіщення надходять до командування, техніків і логістів.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Рамка діаграми містить службові поля, прийняті в нотації IDEF0: у верхній частині — автора, назву проекту, дату, стан розроблення («робочий») і читача, тобто особу, що рецензує модель; у нижній частині — вузол A-0, назву діаграми та її порядковий номер. Нумерація вузла A-0 свідчить, що діаграма є контекстною, тобто розташованою над діаграмою верхнього рівня A0.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2.2.2. Діаграма декомпозиції першого рівня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Декомпозиція A0 (рис. 4.4) розкриває чотири функції системи, розташовані за ступенями відповідно до порядку їх виконання: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A1 «Зібрати й нормалізувати дані»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отримує дані сенсорів і телеметрію (I1) під управлінням вимог захисту інформації (C3) та виконується периферійними шлюзами (M1); виходи — нормалізовані події для A2 і телеметрія місій для A3;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A2 «Сформувати повітряну обстановку»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під управлінням правил застосування (C1) формує повітряну обстановку (O1) та чергу цілей для A3; механізм — IoT-ядро (M2);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A3 «Координувати місії перехоплення»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отримує цілі в черзі, телеметрію місій і рішення персоналу КП (I2), враховує правила застосування та плани польотів (C1, C2), видає бойові завдання розрахункам (O2) та закриті місії для A4; виконується IoT-ядром і застосунками (M2, M3);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A4 «Облікувати ресурси та звітувати»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на основі закритих місій під управлінням вимог захисту інформації формує звіти та сповіщення (O3).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8611200" cy="52206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def0_a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11200" cy="522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4.4 — Діаграма декомпозиції A0 системи «Щит-Лінк»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Стрілки управління C1 і C3 та механізм M2 розгалужуються до кількох блоків (точки розгалуження). Діаграма показує, що периферійний шлюз відповідає лише за прийом і нормалізацію даних, а вся логіка обстановки та місій зосереджена в ядрі, що відповідає архітектурі ПР2 [5]. Кожна межова стрілка діаграми A0 має відповідник на контекстній діаграмі (коди I, C, O, M), що забезпечує узгодженість моделі.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5" w:name="_Toc00000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 Концептуальна модель системи в нотації UML</w:t>
      </w:r>
      <w:bookmarkEnd w:id="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Візуальне моделювання в UML виконується як поступовий перехід від концептуальної моделі до логічної, а потім до фізичної [2]. Концептуальна модель описує функціональне призначення системи (діаграма прецедентів), поведінку ключової сутності (діаграма станів) і словник предметної області (діаграма класів).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2.3.1. Діаграма прецедентів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прецедентів (варіантів використання) визначає функціональне призначення системи: що система повинна робити, не розкриваючи, як саме вона це робить [2]. Діаграма (рис. 4.5) побудована в практичній роботі № 1 [4] і є вихідною концептуальною моделлю системи. Прямокутник позначає межу системи «IoT-платформа «Щит-Лінк»: збір даних і бойове управління»; актори розташовані поза нею, прецеденти — всередині. Лінія асоціації між актором і прецедентом означає, що актор ініціює прецедент або бере участь у ньому.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8753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c_comba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875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4.5 — Діаграма прецедентів: збір даних і бойове управління (з ПР1)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діаграмі визначено шість акторів-людей і двох акторів-систем: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Персонал КП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абстрактний актор, що узагальнює ролі командного пункту; відношення узагальнення від аналітика обстановки, оперативного чергового та офіцера бойового управління означає, що кожна з цих ролей успадковує його прецедент «UC-02 Переглянути повітряну обстановку»;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Аналітик обстановки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веде повітряні треки та ініціює прецедент «UC-03 Класифікувати ціль»: підтверджує або змінює тип і належність цілі, запропоновані класифікатором;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Оперативний черговий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ініціює прецедент «UC-07 Санкціонувати пуск» — без цього прецедента жодне бойове завдання не може бути надіслане розрахунку;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Офіцер бойового управління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ініціює прецедент «UC-04 Призначити розрахунок», обираючи розрахунок для цілі з черги на перехоплення;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Командир розрахунку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бере участь у прецедентах «UC-08 Прийняти бойове завдання» та «UC-11 Доповісти про результат»;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Оператор перехоплювача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бере участь у прецеденті «UC-09 Супроводжувати місію» і підтверджує ціль на фазі наведення;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Сенсорний вузол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(актор-система) ініціює прецедент «UC-01 Передати виявлення» за протоколами MQTT або ASTERIX без участі людини;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НСУ розрахунку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(наземна станція управління, актор-система) передає телеметрію перехоплювача в межах прецедента «UC-09 Супроводжувати місію».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Між прецедентами встановлено три залежності. Відношення включення («include») від «UC-04 Призначити розрахунок» до «UC-05 Перевірити деконфлікцію» означає, що перевірка відсутності конфлікту з дружньою авіацією та зонами заборони ураження виконується за кожного призначення без винятків. Відношення розширення («extend») від «UC-06 Обрати резервний розрахунок» до «UC-04» описує альтернативний потік: резервний розрахунок обирається лише тоді, коли основний не підтвердив завдання протягом 15 с. Друге відношення розширення — від «UC-10 Скасувати місію» до «UC-09 Супроводжувати місію» — застосовується за командою скасування під час виконання місії.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Прецеденти діаграми утворюють наскрізний ланцюжок «виявлення — класифікація — призначення — санкціонування — прийняття завдання — супровід — доповідь», який далі деталізують діаграми станів, діяльності, послідовності та кооперації. Специфікації основних прецедентів (короткий опис, основний і альтернативні потоки, передумови та постумови) наведено в ПР1 [4]; прецеденти забезпечення (облік техніки й запасів, звітність, адміністрування) винесено на окрему діаграму ПР1 і в цьому розділі не деталізуються.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2.3.2. Діаграма станів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станів моделює зміни стану прецедента як реакцію на зовнішні події [2]. Для «Щит-Лінк» найскладнішу поведінку має сутність «Місія» (рис. 4.6). Місія створюється в стані «Запропонована»; за відмови оперативного чергового переходить у стан «Відхилена», після санкції — у стан «Санкціонована». Якщо розрахунок не підтвердив завдання протягом 15 с, місія стає «Перепризначеною» і повертається до стану «Запропонована» з новим кандидатом. Після підтвердження місія переходить до станів «Прийнята» та «Виконується» (подія «пуск»), звідки завершується станом «Закрита» за доповіддю про результат або «Скасована» за командою скасування. Стани «Відхилена», «Скасована» й «Закрита» є кінцевими.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63849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84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4.6 — Діаграма станів сутності «Місія»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Кожен перехід позначено подією, що його спричиняє, а ініціатор події відповідає актору діаграми прецедентів: створення місії — офіцеру бойового управління (UC-04), санкція або відмова — оперативному черговому (UC-07), підтвердження — командиру розрахунку (UC-08), доповідь про результат — прецеденту UC-11, скасування — прецеденту UC-10. Перехід «немає підтвердження 15 с» ініціює сама система за таймером; він реалізує розширення «UC-06 Обрати резервний розрахунок». Цикл «Санкціонована — Перепризначена — Запропонована» гарантує, що зміна розрахунку потребує нової санкції оперативного чергового, тобто призначення не обходить людину. Перелік станів діаграми безпосередньо використано як множину допустимих значень стовпця state таблиці mission фізичної моделі (п. 2.6).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2.3.3. Діаграма класів концептуального рівня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концептуальному рівні класи використовуються для складання словника системи: виділяються класи, їх внутрішня структура та взаємозв’язки [2]. Діаграма (рис. 4.7) містить вісім класів: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7992000" cy="50748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ass_concep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92000" cy="507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4.7 — Діаграма класів концептуального рівня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Сенсор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тип, координати, стан; операція надіслатиВиявлення() формує об’єкти класу «Виявлення» (асоціація 1 — *);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Виявлення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час, пеленг, достовірність; об’єкти агрегуються в «Повітряний трек» (агрегація);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ПовітрянийТрек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номер, належність, оцінка загрози; операція класифікувати() фіксує рішення аналітика; один трек може бути ціллю кількох місій (0..*);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Місія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номер, стан, результат; операції санкціонувати() і скасувати() реалізують переходи діаграми станів (рис. 4.6);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Розрахунок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позивний, стан; операція прийнятиЗавдання(); один розрахунок виконує багато місій;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Перехоплювач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серійний номер, стан; у кожній місії застосовується не більше одного перехоплювача;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Користувач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ПІБ, роль; оперативний черговий санкціонує місії;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ЗвітПроПерехоплення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оцінка результату, докази; пов’язаний з місією композицією (0..1), тобто не існує без місії.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Між класами встановлено відношення трьох видів. Направлена асоціація «формує» від класу «Сенсор» до класу «Виявлення» з кратністю 1 — * означає, що кожне виявлення має рівно одне джерело, а один сенсор формує необмежену кількість виявлень; напрямок вказує, що виявлення не знає про подальшу обробку. Агрегація (незафарбований ромб) між класами «ПовітрянийТрек» і «Виявлення» відображає відношення «ціле — частина», за якого частини існують незалежно: виявлення зберігаються для аналізу навіть після закриття треку. Композиція (зафарбований ромб) між класами «Місія» і «ЗвітПроПерехоплення» є сильнішою формою агрегації: звіт створюється лише для конкретної місії та видаляється разом з нею.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Клас «Місія» є центральним: він пов’язаний асоціаціями з п’ятьма іншими класами. Кратність 0..* на боці місії в асоціації «ціль» з класом «ПовітрянийТрек» допускає трек без місій (ціль під спостереженням) і повторне призначення на ту саму ціль після промаху. Кратність 0..1 на боці класу «Перехоплювач» означає, що до пуску перехоплювач місії не визначено, а після пуску застосовується рівно один. Асоціація «санкціонує» з класом «Користувач» фіксує персональну відповідальність посадової особи за кожен пуск. Атрибути класів наведено без типів, оскільки на концептуальному рівні важливий склад даних, а не спосіб їх зберігання; типи визначаються у фізичній моделі (рис. 4.11).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6" w:name="_Toc00000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2.4. Логічна модель системи</w:t>
      </w:r>
      <w:bookmarkEnd w:id="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Логічна модель уточнює концептуальну у вигляді, зручному для подальшої реалізації, але без прив’язки до конкретної платформи [2]. Для ключового сценарію «Призначення розрахунку» побудовано діаграми діяльності, послідовності та кооперації.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2.4.1. Діаграма діяльності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діяльності деталізує алгоритмічну логіку операцій: перехід до наступної дії відбувається лише після завершення попередньої [2]. Діаграма (рис. 4.8) розділена на чотири доріжки: офіцер бойового управління (ОБУ), платформа, оперативний черговий (ОЧ) і розрахунок. ОБУ обирає ціль; платформа підбирає кандидатів і перевіряє деконфлікцію — у разі невдачі процес завершується блокуванням призначення. Далі ОБУ обирає розрахунок, платформа створює місію, а ОЧ ухвалює рішення про санкцію. Після санкції платформа надсилає завдання, і розрахунок має прийняти його протягом 15 с; інакше платформа пропонує резервний розрахунок. Сценарій завершується супроводом місії.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472000" cy="73645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ctiv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7364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4.8 — Діаграма діяльності сценарію «Призначення розрахунку»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побудована з таких елементів: початкового вузла (зафарбоване коло), дій (прямокутники із заокругленими кутами), вузлів розгалуження (ромби з умовою та гілками «так» / «ні») і кінцевих вузлів (коло з обідком). Доріжки (swimlanes) показують, хто відповідає за кожну дію, тому перехід потоку управління між доріжками означає передачу відповідальності між учасниками. Послідовність дій така: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Дія «Обрати ціль» у доріжці ОБУ — офіцер обирає повітряний трек із черги на перехоплення.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Дія «Підібрати кандидатів, деконфлікція» у доріжці платформи — сервіс призначення формує перелік розрахунків, здатних досягти цілі, і перевіряє відсутність конфлікту з дружньою авіацією.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Розгалуження «Пройдено?»: за наявності конфлікту виконується кінцевий вузол — призначення блокується і місія не створюється.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Дія «Обрати розрахунок» у доріжці ОБУ — офіцер обирає одного з запропонованих кандидатів.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Дія «Створити місію» у доріжці платформи — місія отримує стан «Запропонована».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6) Розгалуження «Санкція?» у доріжці ОЧ: за відмови сценарій завершується, місія переходить у стан «Відхилена».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7) Дія «Надіслати завдання» у доріжці платформи — бойове завдання доставляється на планшет розрахунку.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8) Розгалуження «Прийнято за 15 с?» у доріжці розрахунку: гілка «так» веде до дії «Прийняти завдання», гілка «ні» — до дії платформи «Резервний розрахунок», після якої поточний сценарій завершується і запускається повторно з новим кандидатом.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9) Дія «Супроводжувати місію» у доріжці платформи та кінцевий вузол завершують основний потік.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містить чотири кінцеві вузли, кожен з яких відповідає окремому результату сценарію. Така структура дає змогу безпосередньо отримати з діаграми тестові сценарії: по одному на кожен шлях від початкового до кінцевого вузла.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2.4.2. Діаграма послідовності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послідовності відображає динаміку взаємодії об’єктів у часі; на ній показано лише об’єкти, які безпосередньо беруть участь у взаємодії [2]. Ініціатором послідовності (рис. 4.9) є актор «ОБУ», описаний на діаграмі прецедентів. Під час взаємодії виконуються такі операції: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обратиЦіль()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ОБУ обирає ціль на АРМ КП;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кандидати()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АРМ запитує в сервісу «Призначення і місії» перелік розрахунків-кандидатів;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деконфлікція()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сервіс синхронно перевіряє в геосервісі відсутність конфлікту з дружньою авіацією та зонами заборони ураження й отримує відповідь «дозволено»;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призначити(розрахунок)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створитиМісію()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ОБУ призначає розрахунок, сервіс створює місію та публікує подію «місію запропоновано» в шину подій;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санкціонувати()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ОЧ, отримавши місію через шину подій, надає санкцію; сервіс публікує подію «місію санкціоновано», і шина доставляє бойове завдання на планшет;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прийнято()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розрахунок підтверджує прийняття; подія «завдання прийнято» повертається до сервісу, який оновлює стан місії на АРМ.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6876000" cy="52193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qu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76000" cy="5219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4.9 — Діаграма послідовності сценарію «Призначення розрахунку»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Учасники взаємодії розташовані горизонтально в порядку першої участі: актор «ОБУ», об’єкти «АРМ КП» (інтерфейс користувача), «Призначення і місії» (сервіс, що керує сценарієм) і «Геосервіс», черга «Шина подій», актор «ОЧ» та «Планшет» розрахунку. Вертикальні пунктирні лінії (лінії життя) відображають існування об’єктів протягом сценарію; час на діаграмі плине згори донизу. Суцільні стрілки із зафарбованим наконечником позначають виклики операцій, пунктирні — повернення результату (відповіді «дозволено», «кандидати», «стан місії»). Повідомлення, взяті в лапки («місію запропоновано», «місію санкціоновано», «завдання прийнято»), є подіями, які публікуються в шину і доставляються підписникам.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Синхронні виклики з очікуванням відповіді використовуються лише всередині ядра — між АРМ, сервісом призначення та геосервісом, — оскільки результат деконфлікції потрібен до продовження сценарію. Взаємодія з ОЧ і планшетом відбувається асинхронно через шину подій: сервіс призначення не очікує санкції, а реагує на подію, коли вона надходить. Такий розподіл відповідає подієво-орієнтованій архітектурі ПР2 [5] і дає змогу планшету отримати завдання навіть після тимчасової втрати зв’язку, оскільки подія зберігається в шині до доставки.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2.4.3. Діаграма кооперації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кооперації описує взаємодію об’єктів, абстрагуючись від часу; порядок повідомлень задано нумерацією [2]. Центральним об’єктом (рис. 4.10) обрано анонімний об’єкт класу «Місія», який приймає та генерує такі повідомлення: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1: створити(трек, розрахунок)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ініціатор ОБУ; вхідні параметри — ідентифікатори треку й розрахунку; результат — місія в стані «Запропонована»;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2: отриматиОцінкуЗагрози()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і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3: перевіритиДеконфлікцію()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генерує «Місія»; власники операцій — об’єкти «ПовітрянийТрек» і «Геосервіс»; результат — пріоритет цілі та дозвіл на призначення;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4: санкціонувати()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ініціатор ОЧ; результат — стан «Санкціонована»;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5: надіслатиЗавдання()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генерує «Місія»; власник — «Планшет», який передає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6: прийнятиЗавдання()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об’єкту «Розрахунок»;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7: підтвердити()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розрахунок підтверджує прийняття; результат — стан «Прийнята».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8485200" cy="38188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mmunic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85200" cy="3818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4.10 — Діаграма кооперації з центральним об’єктом «Місія»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Об’єкти діаграми позначено в нотації «ім’я : клас»: іменовані об’єкти «ОБУ : Офіцер» та «ОЧ : Оперативний черговий» відповідають акторам діаграми прецедентів, анонімні об’єкти (з двокрапкою перед іменем класу) — екземплярам класів концептуальної моделі та сервісам ядра. Лінії між об’єктами є зв’язками (links), тобто екземплярами асоціацій діаграми класів; уздовж кожного зв’язку показано номер, напрямок і назву повідомлення.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відміну від діаграми послідовності, яка робить наочним порядок повідомлень у часі, діаграма кооперації показує структуру зв’язків: з неї видно, що об’єкт «Місія» має шість зв’язків і є єдиною точкою узгодження сценарію, тоді як «Розрахунок» взаємодіє з місією лише опосередковано — через планшет. Повідомлення 2 і 3 генерує сама місія, тобто перевірка загрози та деконфлікції інкапсульована в класі «Місія», а не покладена на користувача. Обидві діаграми взаємодії описують той самий сценарій і можуть бути перетворені одна в одну.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7" w:name="_Toc00000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2.5. Фізична модель системи</w:t>
      </w:r>
      <w:bookmarkEnd w:id="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Фізична модель визначає способи розміщення даних і компонентний склад системи з точки зору реалізації на конкретній технічній базі [2].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2.5.1. Діаграма класів фізичного рівня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Фізична діаграма класів описує структуру даних у термінах платформи реалізації — СКБД PostgreSQL (рис. 4.11). Кожен клас відповідає таблиці (стереотип «table»), атрибути мають типи СКБД (UUID, VARCHAR, ENUM, DECIMAL, TIMESTAMPTZ, BOOL), первинні ключі позначено PK, зовнішні — FK. Центральна таблиця mission містить зовнішні ключі на трек (track_id), розрахунок (crew_id), перехоплювач (interceptor_id, може бути порожнім до пуску) і користувача, що санкціонував пуск (approved_by). Таблиця engagement_report пов’язана з mission відношенням 1 : 0..1. Повна схема бази даних з 11 таблиць наведена в ПР1 [4].</w:t>
      </w:r>
    </w:p>
    <w:p>
      <w:pPr>
        <w:sectPr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079200" cy="49192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lass_physic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79200" cy="4919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4.11 — Діаграма класів фізичного рівня (фрагмент схеми бази даних)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Перехід від концептуальної моделі до фізичної виконано за такими правилами: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кожен клас предметної області, екземпляри якого зберігаються, перетворено на таблицю з англомовним ідентифікатором (клас «Місія» — таблиця mission, «ПовітрянийТрек» — air_track, «Користувач» — personnel тощо);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кожна таблиця отримала сурогатний первинний ключ типу UUID, що генерується без звернення до центрального лічильника і тому придатний для розподіленої системи з кількома ЦОД;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асоціації з кратністю «1 — багато» перетворено на зовнішні ключі на боці «багато»: таблиця mission містить track_id, crew_id, interceptor_id та approved_by;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кратність 0..1 перетворено на стовпець, що допускає порожнє значення (interceptor_id до пуску), а композицію «Місія — Звіт» — на зовнішній ключ mission_id у таблиці engagement_report з обмеженням унікальності, що забезпечує відношення 1 : 0..1;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атрибути з обмеженою множиною значень (належність треку, стан місії, оцінка результату) отримали тип ENUM; перелік станів місії збігається зі станами діаграми на рис. 4.6;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моменти часу зберігаються в типі TIMESTAMPTZ з часовим поясом, оскільки події надходять від вузлів, розташованих у різних місцях, а журнал має бути однозначно впорядкований.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Зовнішні ключі position_id і role_id посилаються на таблиці «Позиція» та «Роль», які не наведені у фрагменті, щоб діаграма залишалася читабельною.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2.5.2. Діаграма компонентів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компонентів моделює статичний вигляд системи з точки зору реалізації [2]. Компоненти (рис. 4.12) згруповано в три пакети. Пакет «Периферійний шлюз» містить адаптери протоколів, локальний брокер MQTT і компонент «Буфер і міст до ядра». Пакет «IoT-ядро» містить шину подій, сервіси реального часу, бізнес-сервіси, API-шлюз і сховища PostgreSQL та TimescaleDB. Пакет «Застосунки» містить веб-АРМ і мобільний застосунок, які звертаються до ядра лише через API-шлюз. Пунктирна залежність від мобільного застосунку до локального брокера показує роботу планшета через шлюз позиції без зв’язку з ядром.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63166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mpone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16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4.12 — Діаграма компонентів системи «Щит-Лінк»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Стрілки залежностей на діаграмі показують напрямок звернення одного компонента до іншого і разом утворюють такі маршрути даних: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висхідний потік телеметрії: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адаптери протоколів приймають повідомлення сенсорів і перетворюють їх у єдиний формат, локальний брокер MQTT розподіляє їх на позиції, а компонент «Буфер і міст до ядра» зберігає повідомлення під час втрати зв’язку та передає їх до шини подій ядра;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обробка в ядрі: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шина подій доставляє події двом групам підписників — сервісам реального часу (злиття треків, оцінка загрози) та бізнес-сервісам (призначення, місії, облік ресурсів); обидві групи зберігають дані в реляційному сховищі PostgreSQL і часовому сховищі TimescaleDB;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–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доступ користувачів: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веб-АРМ і мобільний застосунок звертаються лише до API-шлюзу, який перевіряє права доступу й маршрутизує запити до сервісів; прямого звернення застосунків до бази даних немає.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Така структура реалізує принцип слабкої зв’язаності: компоненти периферійного шлюзу не залежать від компонентів ядра, крім єдиної точки входу — шини подій, а застосунки залежать лише від інтерфейсу API-шлюзу. Заміна або масштабування окремого сервісу ядра не потребує змін у шлюзах і застосунках.</w:t>
      </w:r>
    </w:p>
    <w:p>
      <w:pPr>
        <w:pStyle w:val="829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2.5.3. Діаграма розгортання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Діаграма розгортання (рис. 4.13) подає конфігурацію та топологію розподіленої системи: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вузол «Позиція» (9 екземплярів) містить периферійний шлюз на платформі NVIDIA Jetson Orin Nano, обраній у ПР3 [6], і планшет розрахунку на Android, з’єднаний зі шлюзом через Wi-Fi із шифруванням TLS;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сенсори сектора передають дані на шлюз за протоколами MQTT і ASTERIX;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шлюз з’єднаний з кластером ядра в основному ЦОД через VPN із взаємною автентифікацією (mTLS);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кластер ядра працює з базою даних і реплікує дані до резервного ЦОД;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АРМ командного пункту звертаються до ядра через HTTPS.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48928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eploym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92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4.13 — Діаграма розгортання системи «Щит-Лінк»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Вузли діаграми розгортання є фізичними обчислювальними ресурсами, на яких виконуються компоненти (рис. 4.12): пакет «Периферійний шлюз» розгортається на вузлі «Периферійний шлюз Jetson Orin Nano», пакет «IoT-ядро» — на вузлі «Кластер ядра» з базою даних, мобільний застосунок — на планшеті Android, а веб-АРМ — у браузері робочих місць командного пункту. Вкладеність вузлів означає фізичне розміщення: шлюз і планшет перебувають на тій самій позиції та з’єднані локальною мережею Wi-Fi, тому планшет розрахунку продовжує отримувати дані сенсорів сектора через локальний брокер шлюзу навіть за тимчасової відсутності каналу до ЦОД.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Підписи на з’єднаннях між вузлами задають протоколи та засоби захисту каналів. Усі канали, що виходять за межі позиції або ЦОД, захищені: між шлюзом і ядром — віртуальна приватна мережа з взаємною автентифікацією за сертифікатами, між АРМ і ядром — протокол HTTPS. Реплікація даних до резервного ЦОД підтримує вимоги до доступності ядра (NFR-05, не менше 99,95 % на місяць) і відновлення (NFR-06, RPO не більше 5 с, RTO не більше 60 с), а розміщення шлюзу на позиції — вимогу автономної роботи шлюзу протягом не менше 4 год без зв’язку з ядром (FR-03, NFR-06) [4].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Взаємозв’язок вузлів і модулів, показаний на діаграмах компонентів і розгортання, узгоджується з IDEF0-моделлю (механізми M1–M3 на рис. 4.4) і з BPMN-моделями (доріжки «Периферійний шлюз» та «IoT-ядро» на рис. 4.1, 4.2).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8" w:name="_Toc00000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2.6. Реалізація моделей у CASE-засобах</w:t>
      </w:r>
      <w:bookmarkEnd w:id="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CASE-засоби (Computer-Aided Software Engineering) автоматизують аналіз і проектування програмних систем: побудову діаграм, перевірку їх узгодженості, підготовку проектної документації та генерацію програмного коду з моделей [2]. До засобів проектування та моделювання належать UML-інструменти (StarUML, Enterprise Architect) та інструменти для створення архітектури (Draw.io, Lucidchart); окрему категорію становлять системи керування версіями (Git), що відстежують зміни та зберігають історію [11].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моделей розділу застосовано підхід «модель як код»: кожна діаграма зберігається у вигляді текстового опису моделі у стандартному або відкритому форматі, а зображення формуються автоматично. Перевагою підходу є можливість зберігати моделі в репозиторії Git разом з іншими артефактами проекту, порівнювати їх версії рядок за рядком і повторно формувати всі рисунки після зміни моделі без ручного перемальовування. Склад використаних засобів наведено в табл. 4.2.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4.2 — Засоби моделювання, використані в розділі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Нотація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Засіб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Формат моделі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Можливості</w:t>
            </w:r>
          </w:p>
        </w:tc>
      </w:tr>
      <w:tr>
        <w:trPr>
          <w:cantSplit w:val="true"/>
        </w:trPr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BPMN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bpmn-js — засіб перегляду та редагування моделей BPMN 2.0 [12]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XML-файл *.bpmn за специфікацією BPMN 2.0.2 [13] з розділом графічного подання (координати елементів)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Модель відкривається для перегляду та редагування в будь-якому засобі, сумісному з BPMN 2.0</w:t>
            </w:r>
          </w:p>
        </w:tc>
      </w:tr>
      <w:tr>
        <w:trPr>
          <w:cantSplit w:val="true"/>
        </w:trPr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IDEF0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Генератор діаграм IDEF0 на мові Python в оформленні AllFusion Process Modeler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Перелік блоків і стрілок з кодами ICOM (вхід, управління, вихід, механізм)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Автоматична маршрутизація стрілок, розгалуження, рамка з полями вузла, назви й номера</w:t>
            </w:r>
          </w:p>
        </w:tc>
      </w:tr>
      <w:tr>
        <w:trPr>
          <w:cantSplit w:val="true"/>
        </w:trPr>
        <w:tc>
          <w:tcPr>
            <w:tcW w:type="dxa" w:w="1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UML</w:t>
            </w:r>
          </w:p>
        </w:tc>
        <w:tc>
          <w:tcPr>
            <w:tcW w:type="dxa" w:w="233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PlantUML — засіб із відкритим кодом, що будує UML-діаграми з текстового опису [14]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Текстові файли *.puml</w:t>
            </w:r>
          </w:p>
        </w:tc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Діаграми станів, класів, діяльності, послідовності, кооперації, компонентів і розгортання; формати SVG і PNG</w:t>
            </w:r>
          </w:p>
        </w:tc>
      </w:tr>
      <w:tr>
        <w:trPr>
          <w:cantSplit w:val="true"/>
        </w:trPr>
        <w:tc>
          <w:tcPr>
            <w:tcW w:type="dxa" w:w="1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Схема БД</w:t>
            </w:r>
          </w:p>
        </w:tc>
        <w:tc>
          <w:tcPr>
            <w:tcW w:type="dxa" w:w="233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Генератор SQL DDL (пряме проектування)</w:t>
            </w:r>
          </w:p>
        </w:tc>
        <w:tc>
          <w:tcPr>
            <w:tcW w:type="dxa" w:w="257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Діаграма класів фізичного рівня *.puml</w:t>
            </w:r>
          </w:p>
        </w:tc>
        <w:tc>
          <w:tcPr>
            <w:tcW w:type="dxa" w:w="292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Скрипт створення таблиць, ключів і переліків для СКБД PostgreSQL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Послідовність обробки моделей показано на рис. 4.14. Вихідні моделі трьох нотацій зберігаються в репозиторії Git. Засоби bpmn-js, генератор IDEF0 та PlantUML формують з них векторні та растрові зображення, після чого кожне зображення проходить автоматичний контроль читабельності: розмір шрифту на сторінці звіту має бути не менше 10 пт, а роздільна здатність — не менше 300 dpi. Рисунки, що пройшли контроль, включаються до проектної документації. Діаграма класів фізичного рівня, крім того, передається генератору SQL DDL.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54754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oolcha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75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4.14 — Схема обробки моделей проектування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Найважливішою властивістю CASE-засобу є можливість генерувати програмний код з побудованої моделі [2]. Для системи «Щит-Лінк» пряме проектування (forward engineering) виконано для схеми бази даних: генератор зчитує діаграму класів фізичного рівня (рис. 4.11) і діаграму станів (рис. 4.6) та формує скрипт мовою SQL для СКБД PostgreSQL за такими правилами: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клас зі стереотипом «table» перетворюється на оператор CREATE TABLE, атрибут з позначкою PK — на первинний ключ із генерацією значення UUID;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атрибут з позначкою FK перетворюється на зовнішній ключ (REFERENCES); таблиця, на яку він посилається, визначається за збігом імені стовпця з первинним ключем або, якщо імена відрізняються (approved_by), за асоціацією діаграми;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кратність 0..1 на боці таблиці, на яку посилається ключ, дозволяє порожнє значення, а кратність 0..1 на боці таблиці з ключем додає обмеження унікальності (UNIQUE), що реалізує відношення 1 : 0..1;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тип ENUM перетворюється на оператор CREATE TYPE; значення типу mission_state беруться безпосередньо зі станів діаграми станів сутності «Місія»;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таблиці впорядковуються так, щоб таблиця, на яку посилається зовнішній ключ, створювалася раніше.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Фрагмент згенерованого скрипту наведено на рис. 4.15; повний скрипт містить п’ять типів-переліків і шість таблиць. Скрипт перевірено виконанням у СКБД PostgreSQL 18: усі оператори виконано без помилок, а структура таблиці mission відповідає діаграмі — чотири зовнішні ключі, з яких interceptor_id і approved_by допускають порожнє значення до пуску та санкції відповідно.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220000" cy="63548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dl_frag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35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4.15 — Фрагмент SQL-скрипту, згенерованого з діаграми класів фізичного рівня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Повторна генерація після зміни діаграми оновлює скрипт автоматично, тому фізична модель і схема бази даних не розходяться. Зв’язок між діаграмою станів і типом mission_state забезпечує, що новий стан місії, доданий до моделі поведінки, одразу стає допустимим значенням у базі даних. Таким чином, результати моделювання перетворюються не лише на проектну документацію, а й на програмний артефакт, придатний для використання на етапі реалізації.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9" w:name="_Toc00000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ВИСНОВКИ</w:t>
      </w:r>
      <w:bookmarkEnd w:id="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практичній роботі виконано проектування IoT-платформи «Щит-Лінк» засобами трьох нотацій.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У нотації BPMN побудовано моделі «як буде» двох ключових процесів області застосування — формування повітряної обстановки та призначення розрахунку з санкціонуванням пуску; моделі показують розподіл дій між периферійним шлюзом, IoT-ядром і персоналом та обмін повідомленнями із сенсорною мережею й розрахунками.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У нотації IDEF0 побудовано контекстну діаграму та декомпозицію першого рівня з чотирма функціями системи; механізмами моделі є вузли системи (периферійні шлюзи, IoT-ядро, застосунки), що пов’язує функціональну модель з архітектурою.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У нотації UML побудовано концептуальну (прецедентів, станів, класів), логічну (діяльності, послідовності, кооперації) та фізичну (класів, компонентів, розгортання) моделі; вони описують призначення системи, життєвий цикл місії, взаємодію об’єктів у сценарії призначення розрахунку, схему даних, модулі та вузли.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Моделі реалізовано в CASE-засобах за підходом «модель як код» (bpmn-js, PlantUML, генератор IDEF0) під керуванням версій Git; з діаграми класів фізичного рівня автоматично згенеровано SQL-скрипт схеми бази даних для PostgreSQL, працездатність якого перевірено виконанням у СКБД.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Моделі узгоджені між собою та з результатами попередніх практичних робіт: вимогами ПР1, архітектурою ПР2 і обладнанням ПР3.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Отримані моделі є основою для реалізації програмного продукту відповідно до обраної комбінованої моделі життєвого циклу.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0" w:name="_Toc00001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ВИКОРИСТАНИХ ДЖЕРЕЛ</w:t>
      </w:r>
      <w:bookmarkEnd w:id="10"/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Практична робота 4. Проектування системи : завдання з дисципліни «Технології створення програмних продуктів». Київ : КНУ імені Тараса Шевченка, 2026.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Розробка UML-моделі інформаційної системи «Овочева база» : приклад опису діаграм курсової роботи. Київ, 2020. 18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Неделько Д., Дружинін В. Система управління реверсним рухом на Дніпровському узвозі у місті Києві з використанням IoT-технологій. Інформаційні системи та технології: результати і перспективи : матеріали 2-ї Міжнар. наук.-практ. конф. (IST 2025), м. Київ, 5 берез. 2025 р. Київ : ФІТ КНУТШ, 2025. С. 105–107.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Кравченко П. Збір та документування вимог для програмного продукту : звіт з практичної роботи № 1 з дисципліни «Технології створення програмних продуктів». Київ : КНУ імені Тараса Шевченка, 2026. 42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Кравченко П. Архітектура IoT екосистеми : звіт з практичної роботи № 2 з дисципліни «Технології створення програмних продуктів». Київ : КНУ імені Тараса Шевченка, 2026. 24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Кравченко П. Опис існуючих програмних та апаратних рішень : звіт з практичної роботи № 3 з дисципліни «Технології створення програмних продуктів». Київ : КНУ імені Тараса Шевченка, 2026. 25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ДСТУ 3008:2015. Інформація та документація. Звіти у сфері науки і техніки. Структура та правила оформлювання. Київ : ДП «УкрНДНЦ», 2016. 26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Технологія RUP : лекція 8 з дисципліни «Технології створення програмних продуктів» / викл. О. В. Кравченко. Київ : КНУ імені Тараса Шевченка, 2026. 46 слайдів.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9. Дегтярьова Л. М., Гроза П. М., Сомов С. В. Навчальний посібник з дисципліни «Технології розробки програмного забезпечення». Полтава : ПолтНТУ, 2017. 218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10. Карпенко М. Ю., Манакова Н. О., Гавриленко І. О. Технології створення програмних продуктів та інформаційних систем : навч. посібник. Харків : ХНУМГ ім. О. М. Бекетова, 2017. 93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11. Засоби та інструменти розробки ПЗ : лекція 7 з дисципліни «Технології створення програмних продуктів» / викл. О. В. Кравченко. Київ : КНУ імені Тараса Шевченка, 2026. 17 слайдів.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12. bpmn-js: BPMN 2.0 viewer and editor / bpmn.io. URL: https://bpmn.io/toolkit/bpmn-js/ (дата звернення: 11.10.2026).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13. Business Process Model and Notation (BPMN). Version 2.0.2 / Object Management Group. 2014. URL: https://www.omg.org/spec/BPMN/2.0.2/ (дата звернення: 11.10.2026).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14. PlantUML: open-source tool for UML diagrams. URL: https://plantuml.com/ (дата звернення: 11.10.2026).</w:t>
      </w:r>
    </w:p>
    <w:sectPr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3</cp:revision>
  <dcterms:modified xsi:type="dcterms:W3CDTF">2026-10-04T07:49:39Z</dcterms:modified>
  <dc:title>Практична робота №4. Проектування системи</dc:title>
  <dc:subject>Технології створення програмних продуктів</dc:subject>
  <dc:language>uk-UA</dc:language>
</cp:coreProperties>
</file>