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ПР 4 · Проектування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 4: Проектування системи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ПР4_Кравченко_ІР-31.docx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9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ПР4 — проектування системи: моделі BPMN, IDEF0 і UML від концептуального до фізичного рівня, плюс реалізація моделей у CASE-засобах.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Склад моделей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4.1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Спершу визначив, які моделі й у якому порядку будую.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BPMN «як буде»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4.1–4.2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Два ключові процеси з доріжками платформи: формування обстановки і призначення розрахунку з санкціонуванням пуску.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IDEF0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4.3–4.4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Контекстна діаграма системи й декомпозиція A0; механізми — шлюзи, ядро й застосунки.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UML: концептуальна модель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4.5–4.7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Прецеденти з ПР1, діаграма станів сутності «Місія» і концептуальні класи.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UML: логічна модель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4.8–4.10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Сценарій «Призначення розрахунку» з трьох поглядів: діяльність, послідовність, кооперація.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UML: фізична модель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4.11–4.13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Класи БД у термінах PostgreSQL, компоненти і розгортання на вузлах.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CASE і генерація SQL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4.2; рис. 4.14–4.15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Показую ланцюжок інструментів і фрагмент SQL-скрипту, згенерованого з фізичної діаграми класів; скрипт перевірено в PostgreSQL.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моделі пов’язані наскрізно — від процесу до таблиці БД, як у прикладі опису діаграм.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