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4 · Логарифмічні частотні характеристики розімкненої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ЛФЧХ, таблиця 1 і висновок про запас стійкості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Фазочастотна характеристика як сума фаз ланок; запас за фазою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Звіт ПЗ4: рис. 4.6–4.8 — аркуші 5–7: таблиця 1 (аркуш 5), рис. 1 — нижній графік і пункт 7 «Аналіз» (аркуш 6), висновок (аркуш 7)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ПЗ4_Кравченко_ІР-31_варіант8.docx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Розрахувати точну ЛФЧХ, побудувати її під ЛАЧХ і зробити висновок.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Фазу рахую точно за формулою φ(ω) = −90° − arctg(2ζT₃ω/(1 − T₃²ω²)) + arctg T₂ω + arctg T₁ω і зводжу в таблицю 1 для 11 частот.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−90°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дає інтегруюча ланка на всіх частотах.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Коливальна ланка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 0 до −180°; при ω &gt; 1 знаменник під арктангенсом від’ємний, тому беру гілку за −90°.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Форсуючі ланки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додають від 0 до +90° кожна.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Граничні значення: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ω → 0 φ → −90°; ω → ∞ φ → −90° − 180° + 90° + 90° = −90°.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Мінімум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≈ −245° при ω ≈ 5–10 с⁻¹.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Аналіз: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фаза −180° на ω ≈ 1,02 с⁻¹, де L ≈ +17 дБ &gt; 0; на ω_зр ≈ 2,1 с⁻¹ φ ≈ −226°, запас за фазою γ ≈ −46° — замкнена система нестійка; це підтверджує й умова Гурвіца для D(p) з ПЗ3 (1,402·1,3 = 1,82 &lt; 10).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ЛФЧХ розраховуєте точно, а ЛАЧХ асимптотично?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Асимптотична фаза дає надто грубі стрибки; методика лекції вимагає точної ЛФЧХ за формулою (4.3).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запас стійкості за фазою?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γ = 180° + φ(ω_зр) — на скільки фазу можна ще зменшити до межі стійкості; тут він від’ємний.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зробити систему стійкою?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Зменшити k: ЛАЧХ опуститься, ω_зр зсунеться ліворуч, де фаза вища за −180°.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графік φ(ω) будують точно під L(ω)?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Щоб на одній вертикалі бачити амплітуду і фазу тієї самої частоти — це потрібно для аналізу стійкості.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Значення в таблиці — сума округлених складових, тому остання цифра може відрізнятися на 0,1°.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