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Управління ризиками, Декларація про застосовність, NIST CSF і національна база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Ризик = ймовірність × вплив; обробка ризиків; заходи додатка A; NIST CSF 2.0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6; рис. 1.5; табл. 1.8, 1.9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Показує, як від загроз переходимо до конкретних заходів.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Процес управління ризиками (рис. 1.5) має шість складових: опис бізнес-процесів, збір ризиків, оцінка, планування заходів, реалізація, оцінка ефективності.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Шкала.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Ризик = ймовірність (1–5) × вплив (1–5); 1–7 — низький, 8–14 — середній, 15–25 — високий.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10 ризиків: 4 високі (З-01 фішинг — 20; З-02 корупційна зміна записів — 15; З-03 витік даних — 15; З-06 програма-вимагач — 15), 6 середніх, низьких немає.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Обробка.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Високі — обов’язкове зменшення; середні — зменшення в межах ресурсів.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загрози — заходи додатка A, категорії NIST CSF 2.0 і вид заходу. Напр., З-01: 5.17, 8.5 (MFA), PR.AA/PR.AT, програмний і організаційний.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Розподіл за NIST CSF.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Protect — 9, Detect — 3, Recover — 3, Govern — 2, Identify — 2, Respond — 1: переважання Protect закономірне на етапі створення СУІБ.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Два контури.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Сертифікація за ISO 27001 добровільна, а національні вимоги обов’язкові: КСЗІ за НД ТЗІ, режим секретності, захист персональних даних, взаємодія з CERT-UA.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Декларація про застосовність?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Документ, у якому організація для кожного з 93 заходів додатка A вказує, чи застосовує його і чому; основа для нас — табл. 1.9.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найбільші ризики — фішинг і інсайдер, а не зовнішній злам?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Людський чинник обходить периметр: фішинг дає легітимні облікові дані, інсайдер уже має доступ; тому пріоритет — MFA, розподіл обов’язків, журналювання й навчання.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оцінюється ефективність СУІБ?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Моніторингом і метриками (частка операторів з MFA, час реагування), внутрішнім аудитом і аналізом керівництвом — розділ 9 стандарту.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Кожна загроза доведена до конкретних номерів заходів стандарту, а не загальних порад.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