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Технології створення програмних продуктів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Збір та документування вимог для програмного продукту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Кравченко Ольга Віталіївна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1. МЕТА ТА ЗАВДАННЯ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2. ТЕОРЕТИЧНІ ВІДОМОСТІ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2.1. Життєвий цикл програмного продукту та його моделі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2.2. Вимоги до програмного забезпечення: збір, аналіз, управління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2.3. Специфікація системних вимог (SRS)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2.4. Діаграма варіантів використання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3. ВИБІР ТЕМИ ТА КОНЦЕПЦІЯ ПРОГРАМНОГО ПРОДУКТУ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3.1. Тема і призначення програмного продукту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3.2. Об’єкт автоматизації та користувачі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0" w:history="1">
        <w:r>
          <w:rPr>
            <w:rFonts w:ascii="Times New Roman" w:hAnsi="Times New Roman" w:cs="Times New Roman"/>
            <w:sz w:val="28"/>
            <w:szCs w:val="28"/>
          </w:rPr>
          <w:t xml:space="preserve">3.3. Вибір моделі життєвого циклу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1" w:history="1">
        <w:r>
          <w:rPr>
            <w:rFonts w:ascii="Times New Roman" w:hAnsi="Times New Roman" w:cs="Times New Roman"/>
            <w:sz w:val="28"/>
            <w:szCs w:val="28"/>
          </w:rPr>
          <w:t xml:space="preserve">3.4. Попередня структура бази даних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2" w:history="1">
        <w:r>
          <w:rPr>
            <w:rFonts w:ascii="Times New Roman" w:hAnsi="Times New Roman" w:cs="Times New Roman"/>
            <w:sz w:val="28"/>
            <w:szCs w:val="28"/>
          </w:rPr>
          <w:t xml:space="preserve">4. ЗБІР І АНАЛІЗ ВИМОГ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3" w:history="1">
        <w:r>
          <w:rPr>
            <w:rFonts w:ascii="Times New Roman" w:hAnsi="Times New Roman" w:cs="Times New Roman"/>
            <w:sz w:val="28"/>
            <w:szCs w:val="28"/>
          </w:rPr>
          <w:t xml:space="preserve">4.1. Зацікавлені сторони та методи збору вимог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4" w:history="1">
        <w:r>
          <w:rPr>
            <w:rFonts w:ascii="Times New Roman" w:hAnsi="Times New Roman" w:cs="Times New Roman"/>
            <w:sz w:val="28"/>
            <w:szCs w:val="28"/>
          </w:rPr>
          <w:t xml:space="preserve">4.2. Функціональні вимоги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5" w:history="1">
        <w:r>
          <w:rPr>
            <w:rFonts w:ascii="Times New Roman" w:hAnsi="Times New Roman" w:cs="Times New Roman"/>
            <w:sz w:val="28"/>
            <w:szCs w:val="28"/>
          </w:rPr>
          <w:t xml:space="preserve">4.3. Нефункціональні вимоги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6" w:history="1">
        <w:r>
          <w:rPr>
            <w:rFonts w:ascii="Times New Roman" w:hAnsi="Times New Roman" w:cs="Times New Roman"/>
            <w:sz w:val="28"/>
            <w:szCs w:val="28"/>
          </w:rPr>
          <w:t xml:space="preserve">4.4. Аналіз вимог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7" w:history="1">
        <w:r>
          <w:rPr>
            <w:rFonts w:ascii="Times New Roman" w:hAnsi="Times New Roman" w:cs="Times New Roman"/>
            <w:sz w:val="28"/>
            <w:szCs w:val="28"/>
          </w:rPr>
          <w:t xml:space="preserve">4.5. Діаграма варіантів використання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8" w:history="1">
        <w:r>
          <w:rPr>
            <w:rFonts w:ascii="Times New Roman" w:hAnsi="Times New Roman" w:cs="Times New Roman"/>
            <w:sz w:val="28"/>
            <w:szCs w:val="28"/>
          </w:rPr>
          <w:t xml:space="preserve">4.6. Специфікації основних варіантів використання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9" w:history="1">
        <w:r>
          <w:rPr>
            <w:rFonts w:ascii="Times New Roman" w:hAnsi="Times New Roman" w:cs="Times New Roman"/>
            <w:sz w:val="28"/>
            <w:szCs w:val="28"/>
          </w:rPr>
          <w:t xml:space="preserve">5. СПЕЦИФІКАЦІЯ СИСТЕМНИХ ВИМОГ IOT-ПЛАТФОРМИ «ЩИТ-ЛІНК»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/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0" w:history="1">
        <w:r>
          <w:rPr>
            <w:rFonts w:ascii="Times New Roman" w:hAnsi="Times New Roman" w:cs="Times New Roman"/>
            <w:sz w:val="28"/>
            <w:szCs w:val="28"/>
          </w:rPr>
          <w:t xml:space="preserve">5.1. Вступ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1" w:history="1">
        <w:r>
          <w:rPr>
            <w:rFonts w:ascii="Times New Roman" w:hAnsi="Times New Roman" w:cs="Times New Roman"/>
            <w:sz w:val="28"/>
            <w:szCs w:val="28"/>
          </w:rPr>
          <w:t xml:space="preserve">5.2. Драйвери бізнесу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2" w:history="1">
        <w:r>
          <w:rPr>
            <w:rFonts w:ascii="Times New Roman" w:hAnsi="Times New Roman" w:cs="Times New Roman"/>
            <w:sz w:val="28"/>
            <w:szCs w:val="28"/>
          </w:rPr>
          <w:t xml:space="preserve">5.3. Бізнес-модель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3" w:history="1">
        <w:r>
          <w:rPr>
            <w:rFonts w:ascii="Times New Roman" w:hAnsi="Times New Roman" w:cs="Times New Roman"/>
            <w:sz w:val="28"/>
            <w:szCs w:val="28"/>
          </w:rPr>
          <w:t xml:space="preserve">5.4. Функціональні та системні вимоги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4" w:history="1">
        <w:r>
          <w:rPr>
            <w:rFonts w:ascii="Times New Roman" w:hAnsi="Times New Roman" w:cs="Times New Roman"/>
            <w:sz w:val="28"/>
            <w:szCs w:val="28"/>
          </w:rPr>
          <w:t xml:space="preserve">5.5. Випадки використання системи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5" w:history="1">
        <w:r>
          <w:rPr>
            <w:rFonts w:ascii="Times New Roman" w:hAnsi="Times New Roman" w:cs="Times New Roman"/>
            <w:sz w:val="28"/>
            <w:szCs w:val="28"/>
          </w:rPr>
          <w:t xml:space="preserve">5.6. Технічні вимоги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6" w:history="1">
        <w:r>
          <w:rPr>
            <w:rFonts w:ascii="Times New Roman" w:hAnsi="Times New Roman" w:cs="Times New Roman"/>
            <w:sz w:val="28"/>
            <w:szCs w:val="28"/>
          </w:rPr>
          <w:t xml:space="preserve">5.7. Системні якості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7" w:history="1">
        <w:r>
          <w:rPr>
            <w:rFonts w:ascii="Times New Roman" w:hAnsi="Times New Roman" w:cs="Times New Roman"/>
            <w:sz w:val="28"/>
            <w:szCs w:val="28"/>
          </w:rPr>
          <w:t xml:space="preserve">5.8. Обмеження та припущення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8" w:history="1">
        <w:r>
          <w:rPr>
            <w:rFonts w:ascii="Times New Roman" w:hAnsi="Times New Roman" w:cs="Times New Roman"/>
            <w:sz w:val="28"/>
            <w:szCs w:val="28"/>
          </w:rPr>
          <w:t xml:space="preserve">5.9. Критерії прийняття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9" w:history="1">
        <w:r>
          <w:rPr>
            <w:rFonts w:ascii="Times New Roman" w:hAnsi="Times New Roman" w:cs="Times New Roman"/>
            <w:sz w:val="28"/>
            <w:szCs w:val="28"/>
          </w:rPr>
          <w:t xml:space="preserve">5.10. Додатки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30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_Toc000030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31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_Toc000031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вивчити методи збору вимог від замовників і кінцевих користувачів, навчитися класифікувати, аналізувати та документувати функціональні й нефункціональні вимоги, побудувати діаграму варіантів використання (Use Case Diagram) і скласти специфікацію системних вимог (SRS) для власного програмного продукту з використанням інтернету речей.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Завдання роботи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[1]: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обрати власну тему для створення програмного продукту з використанням інтернету речей (окремий додаток, мобільний застосунок або веб-орієнтована система) з дружнім інтерфейсом і базою даних не менш ніж із 5–6 зв’язаних наповнених таблиць — розділ 3;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зібрати функціональні та нефункціональні вимоги, створити діаграму варіантів використання — розділ 4;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описати специфікацію системних вимог із використанням теоретичного матеріалу — розділ 5;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створити звіт і сформулювати висновки до роботи — цей звіт, розділ «Висновки».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Тема програмного продукту: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«Розподілена IoT-система цілевказівки та координації дронів для перехоплення повітряних цілей». Програмний продукт — IoT-платформа «Щит-Лінк» для регіонального центру протидронової оборони РЦПДО «Щит-Північ».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Примітка: РЦПДО «Щит-Північ» і IoT-платформа «Щит-Лінк» є навчальними умовними моделями; усі назви, процеси та показники наведено суто з навчально-ілюстративною метою.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Предмет моделювання обмежено рівнем інформаційної системи: які дані збираються, хто і які рішення ухвалює, які функції та якості повинна мати програмна система. Алгоритми керування польотом і засоби ураження не розглядаються; рішення на застосування завжди ухвалює людина.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ТЕОРЕТИЧНІ ВІДОМОСТІ</w:t>
      </w:r>
      <w:bookmarkEnd w:id="2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Життєвий цикл програмного продукту та його моделі</w:t>
      </w:r>
      <w:bookmarkEnd w:id="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Життєвий цикл програмного продукту (Software Development Life Cycle, SDLC) — процес, що охоплює всі етапи розроблення програмного забезпечення від початкового планування до підтримки після релізу [2]. Лекційний матеріал виділяє сім етапів: планування, аналіз вимог, проєктування системи, реалізацію (кодування), тестування, впровадження та підтримку [2]. Саме на етапі аналізу вимог визначають функціональні та нефункціональні вимоги — тобто те, які задачі повинна виконувати система.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Модель життєвого циклу визначає підхід до розроблення: порядок етапів, наявність ітерацій і способи контролю. Розглядають шість основних моделей [2; 3]: каскадну (Waterfall) — послідовне проходження етапів, придатну за чітких і стабільних вимог; спіральну — ітерації, кожна з яких починається з аналізу ризиків і планування; V-модель — розширення каскадної з паралельним плануванням тестування для кожного етапу; Agile — ітеративно-інкрементний підхід із гнучким реагуванням на зміни; інкрементну модель — поступове нарощування функцій, що дозволяє впроваджувати продукт частинами; DevOps — поєднання розроблення та експлуатації з безперервною інтеграцією (CI), безперервним розгортанням, тестуванням і моніторингом.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Вимоги до програмного забезпечення: збір, аналіз, управління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Вимога — умова або можливість, яку визначив користувач для розв’язання проблеми чи досягнення мети і якій повинна відповідати система або її компонент [4]. Розрізняють бізнес-вимоги, вимоги користувачів, функціональні вимоги (що повинна робити система) і нефункціональні вимоги (як добре вона повинна це робити: продуктивність, надійність, безпека, зручність тощо) [4; 5]. Приклад функціональної вимоги з лекції: «Користувач повинен мати змогу увійти в систему за допомогою ідентифікатора та пароля» [5].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Робота з вимогами складається з послідовних, але взаємопов’язаних кроків (рис. 1.1) [5].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Збір вимог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спирається на джерела (клієнти, бізнес-аналітики, технічні фахівці) і методи: інтерв’ю, опитування, наради, спостереження.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Аналіз вимог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оцінює їх коректність, повноту та узгодженість, визначає пріоритети, виявляє конфлікти й дублювання; за посібником [4] він також встановлює межі (scope) проєкту і деталізує системні вимоги до програмних.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Управління вимогами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забезпечує контроль змін, версійність і відстеження за допомогою інструментів Jira, Trello, IBM Rational DOORS [5]. Типові проблеми — неповні або нечіткі вимоги, зміни після початку розроблення та брак комунікації між командами [5].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680000" cy="5727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q_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727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1.1 — Процес роботи з вимогами до програмного забезпечення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Специфікація системних вимог (SRS)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Специфікація вимог до програмного забезпечення (Software Requirements Specification, SRS) — документ, що визначає функції, продуктивність і обмеження системи та слугує контрактом між замовником і розробником [1]. Посібник [4] розрізняє специфікацію вимог користувачів (концепцію), специфікацію системних вимог, що описує систему в контексті системної інженерії (програмні й апаратні компоненти, персонал), і специфікацію програмних вимог. На відміну від специфікації бізнес-вимог (BRS), яку готує бізнес-аналітик на дуже високому рівні, SRS походить від BRS, описує і функціональні, і технічні характеристики та містить таблиці й випадки використання [1].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Добре написана SRS вирівнює очікування зацікавлених сторін, є основою планування, зменшує ризики (розповзання обсягу, прогалини у функціях), слугує планом для проєктування, полегшує тестування, покращує комунікацію команд, забезпечує дотримання норм і спрощує супровід [1]. Структура SRS, якої дотримано в розділі 5, містить десять розділів: вступ (мета, сфера застосування, визначення, посилання, огляд); драйвери бізнесу; бізнес-модель; функціональні та системні вимоги; випадки використання системи; технічні вимоги; системні якості; обмеження та припущення; критерії прийняття; додатки [1]. Кожна вимога повинна бути однозначно ідентифікована для відстеження [1].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2.4. Діаграма варіантів використання</w:t>
      </w:r>
      <w:bookmarkEnd w:id="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прецедентів (варіантів використання, use case diagram) — узагальнена модель функціонування системи в навколишньому середовищі [6]. У технології RUP вона є основним засобом визначення функцій системи на етапі «Визначення вимог» [6]. Актор — роль користувача або зовнішньої системи; прецедент (еліпс) — послідовність дій, що дає акторові значущий результат. Властивості прецедента [6]: він описує, ЩО потрібно робити, а не ЯК; описує дії з погляду виконавця; повертає виконавцю деяке повідомлення; послідовність дій усередині прецедента є одним неподільним ланцюгом.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Між прецедентами використовують відношення включення «include» (базовий прецедент завжди виконує включений) і розширення «extend» (додаткова поведінка за певної умови), між акторами — узагальнення. Текстову специфікацію прецедента, за прикладом опису діаграм [7], складають із короткого опису, основного потоку подій, альтернативних потоків, передумов і постумов.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ВИБІР ТЕМИ ТА КОНЦЕПЦІЯ ПРОГРАМНОГО ПРОДУКТУ</w:t>
      </w:r>
      <w:bookmarkEnd w:id="7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Тема і призначення програмного продукту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Обрано тему «Розподілена IoT-система цілевказівки та координації дронів для перехоплення повітряних цілей». Програмний продукт — IoT-платформа «Щит-Лінк», розподілена інформаційно-управляюча система реального часу, що збирає дані від мережі сенсорних вузлів (акустичних датчиків, малогабаритних РЛС, оптико-електронних постів) і телеметрію дронів-перехоплювачів, формує єдину повітряну обстановку та координує розрахунки перехоплювачів: передає їм цілевказання, фіксує санкціонування, хід і результат кожної місії.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Продукт поєднує всі три форми реалізації, передбачені завданням [1]: веб-орієнтовану систему (автоматизовані робочі місця (АРМ) командного пункту, аналітики, логістики та адміністрування), мобільний застосунок (планшет командира розрахунку) та окремий додаток периферійного шлюзу на позиції. Використання інтернету речей полягає в машинній взаємодії (M2M) сенсорів, шлюзів і наземних станцій управління з ядром платформи за протоколами MQTT 5, ASTERIX і MAVLink 2. Дружній інтерфейс забезпечують карта обстановки з умовними знаками APP-6, нічна тема та підтвердження ключових дій однією-двома діями (вимога NFR-10).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Об’єкт автоматизації та користувачі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Об’єкт автоматизації — діяльність умовного РЦПДО «Щит-Північ» з виявлення, супроводу й перехоплення повітряних цілей у зоні відповідальності (3 райони області, 14 об’єктів критичної інфраструктури, 120 акустичних сенсорів, 4 РЛС, 12 оптико-електронних постів, 18 розрахунків на 9 позиціях, близько 160 осіб особового складу). Наразі виявлення надходять різними каналами, цілевказання передають голосом, облік готовності та звітність ведуть вручну — ці проблеми детально розглянуто в підрозділі 5.2. Користувачами системи є 11 людських ролей і 3 зовнішні системи-актори (табл. 1.8).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0" w:name="_Toc00001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Вибір моделі життєвого циклу</w:t>
      </w:r>
      <w:bookmarkEnd w:id="1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Модель життєвого циклу обрано порівнянням шести моделей лекції [2] за критеріями, суттєвими для проєкту: стабільність вимог, критичність помилок (рішення впливають на безпеку людей), потреба в ранньому отриманні корисних функцій, інтенсивність змін під час експлуатації та обсяг документації (табл. 1.1).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 — Порівняння моделей життєвого циклу для IoT-платформи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Модель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Переваги для проєкту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Обмеження для проєкту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Висновок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Каскадна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Чіткий порядок, повна документація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Вимоги до тактики й інтеграцій змінюються; продукт з’являється лише наприкінці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підходить у чистому вигляді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Спіральна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Явний аналіз ризиків на кожному витку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Висока вартість і тривалість витків, потреба в експертах з ризиків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Аналіз ризиків запозичено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V-модель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Кожному рівню вимог відповідає рівень тестування — важливо для критичних функцій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Послідовна, слабо реагує на зміни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Застосовується всередині інкременту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Agile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Гнучкість, тісна співпраця з користувачами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Недостатня формалізація для функцій безпеки та атестації КСЗІ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Практики спринтів — для інтерфейсів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Інкрементна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Ранній запуск ядра, поетапне нарощування функцій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Потрібна стабільна архітектура з першого інкременту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Базова модель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DevOps</w:t>
            </w:r>
          </w:p>
        </w:tc>
        <w:tc>
          <w:tcPr>
            <w:tcW w:type="dxa" w:w="304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CI/CD, моніторинг, швидкі оновлення на всіх вузлах</w:t>
            </w:r>
          </w:p>
        </w:tc>
        <w:tc>
          <w:tcPr>
            <w:tcW w:type="dxa" w:w="304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Потребує автоматизації інфраструктури та культури команди</w:t>
            </w:r>
          </w:p>
        </w:tc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Модель супроводу й випуску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Обрано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комбіновану модель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(рис. 1.2): спільні етапи планування, аналізу вимог і проєктування архітектури виконуються один раз, далі продукт створюється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інкрементами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а в межах кожного інкременту дотримується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V-модель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кожному рівню вимог SRS відповідає рівень тестування (модульне, інтеграційне, системне, приймальне). Випуск і супровід організовано за моделлю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DevOps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безперервна інтеграція і тестування, безперервне розгортання на ядро та периферійні шлюзи, постійний моніторинг; відгуки користувачів і запити на зміну повертаються на етап планування наступного інкременту. Такий підхід поєднує раннє отримання цінності (інкрементна модель і DevOps) із суворою перевірюваністю критичних функцій (V-модель), як рекомендує порівняння моделей у лекції [2].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3811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fe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1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1.2 — Обрана модель життєвого циклу IoT-платформи «Щит-Лінк»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Розподіл функцій за інкрементами відповідає пріоритетам вимог (підрозділ 4.2): перший інкремент дає єдину повітряну обстановку, другий — повний цикл ухвалення рішення, третій — супровід місій і звітність, четвертий — облік ресурсів, аналітику та зовнішні інтеграції.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1" w:name="_Toc00001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3.4. Попередня структура бази даних</w:t>
      </w:r>
      <w:bookmarkEnd w:id="1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Завдання вимагає бази даних щонайменше з 5–6 зв’язаних наповнених таблиць [1]. Попередня концептуальна модель даних «Щит-Лінк» містить 11 таблиць, пов’язаних зовнішніми ключами (рис. 1.3, 1.4); для читабельності модель розділено на підсистему моніторингу повітряного простору та підсистему бойового управління, спільні сутності «Повітряний трек» і «Позиція» присутні на обох рисунках. Нотація — «сутність — зв’язок» із позначенням кратності «воронячою лапкою»: риска — «рівно один», коло — «нуль», розгалуження — «багато».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3546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r_monito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6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1.3 — Концептуальна модель даних: підсистема моніторингу повітряного простору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144400" cy="8101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_comb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400" cy="8101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1.4 — Концептуальна модель даних: підсистема бойового управління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Призначення таблиць, ключові зв’язки та планований обсяг тестового наповнення наведено в табл. 1.2. Обсяги відповідають ресурсам умовного центру (підрозділ 3.2) і даним однієї доби інтенсивної роботи; телеметрію перехоплювачів зберігає окрема база даних часових рядів (TimescaleDB).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 — Таблиці бази даних та плановане тестове наповнення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Таблиця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Призначення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Ключі та зв’язки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Записів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Сектор (sector)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Зони відповідальності, заборони ураження, коридори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PK код; тип зони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 (sensor)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Сенсорні вузли та їх стан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Сектор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136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Виявлення (detection)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Первинні виявлення від сенсорів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Сенсор, Повітряний трек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≈ 50 000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Повітряний трек (air_track)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Цілі: належність, оцінка загрози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PK код; номер треку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≈ 600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Позиція (position)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Вогневі позиції розрахунків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Сектор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Розрахунок (crew)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Розрахунки перехоплювачів і їх стан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Позиція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Перехоплювач (interceptor)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Екземпляри дронів-перехоплювачів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Позиція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300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 (mission)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Бойові завдання та їх життєвий цикл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Трек, Розрахунок, Перехоплювач, Користувач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≈ 400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 про перехоплення (engagement_report)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Оцінка результату місії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Місія (1 : 0..1)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≈ 380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 (personnel)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Особовий склад — користувачі системи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Роль, Розрахунок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160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Роль (role)</w:t>
            </w:r>
          </w:p>
        </w:tc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Ролі RBAC</w:t>
            </w:r>
          </w:p>
        </w:tc>
        <w:tc>
          <w:tcPr>
            <w:tcW w:type="dxa" w:w="268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PK код; назва ролі</w:t>
            </w:r>
          </w:p>
        </w:tc>
        <w:tc>
          <w:tcPr>
            <w:tcW w:type="dxa" w:w="128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Приклад наповнення центральної таблиці «Місія», що пов’язує трек, розрахунок, перехоплювач і користувача, який санкціонував пуск, наведено в табл. 1.3.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1.3 — Приклад наповнення таблиці «Місія»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 w:val="true"/>
        </w:trPr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Номер місії</w:t>
            </w:r>
          </w:p>
        </w:tc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Трек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Розрахунок (позиція)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Перехоплювач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Стан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М-0412-01</w:t>
            </w:r>
          </w:p>
        </w:tc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ЩП-0412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«Беркут-3» (П-02)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ПХ-01187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Санкціонована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М-0412-02</w:t>
            </w:r>
          </w:p>
        </w:tc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ЩП-0415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«Сокіл-1» (П-05)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ПХ-00954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Закрита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Влучання</w:t>
            </w:r>
          </w:p>
        </w:tc>
      </w:tr>
      <w:tr>
        <w:trPr>
          <w:cantSplit w:val="true"/>
        </w:trPr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М-0412-03</w:t>
            </w:r>
          </w:p>
        </w:tc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ЩП-0419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«Беркут-1» (П-02)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ПХ-01203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Скасована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Скасовано</w:t>
            </w:r>
          </w:p>
        </w:tc>
      </w:tr>
      <w:tr>
        <w:trPr>
          <w:cantSplit w:val="true"/>
        </w:trPr>
        <w:tc>
          <w:tcPr>
            <w:tcW w:type="dxa" w:w="146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М-0412-04</w:t>
            </w:r>
          </w:p>
        </w:tc>
        <w:tc>
          <w:tcPr>
            <w:tcW w:type="dxa" w:w="116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ЩП-0421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«Яструб-2» (П-07)</w:t>
            </w:r>
          </w:p>
        </w:tc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ПХ-01011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Закрита</w:t>
            </w:r>
          </w:p>
        </w:tc>
        <w:tc>
          <w:tcPr>
            <w:tcW w:type="dxa" w:w="146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Промах</w:t>
            </w:r>
          </w:p>
        </w:tc>
      </w:tr>
    </w:tbl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2" w:name="_Toc00001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ЗБІР І АНАЛІЗ ВИМОГ</w:t>
      </w:r>
      <w:bookmarkEnd w:id="12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3" w:name="_Toc00001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Зацікавлені сторони та методи збору вимог</w:t>
      </w:r>
      <w:bookmarkEnd w:id="1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Збір вимог розпочато з визначення зацікавлених сторін і вибору для кожної з них методу збору з переліку лекції [5]: інтерв’ю, опитування, наради, спостереження; додатково застосовано аналіз документів (журналів обліку, специфікацій протоколів), що рекомендує посібник [4]. Результати наведено в табл. 1.4; коди ЗС-1…ЗС-8 використовуються далі як джерела вимог.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1.4 — Зацікавлені сторони та методи збору вимог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Зацікавлена сторона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Представники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Метод збору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Ключові очікування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ЗС-1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Замовник — командування центру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Начальник центру (R-12), заступники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Інтерв’ю, наради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Скорочення циклу «виявлення — перехоплення», контроль ресурсу, звітність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Персонал командного пункту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 (R-01), офіцер бойового управління (R-02), аналітик обстановки (R-03)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Інтерв’ю, спостереження за роботою зміни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Єдина повітряна обстановка, швидке і безпомилкове призначення цілей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ЗС-3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Розрахунки перехоплювачів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 (R-04), оператор (R-05)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Опитування (анкетування), спостереження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Цифрове завдання на планшеті замість голосового цілевказання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ЗС-4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Технічна служба і логістика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 (R-07), логіст (R-08)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Опитування, аналіз журналів обліку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 справності, ресурсу АКБ, запасів і заявок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ЗС-5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Відділ аналітики та звітності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ефективності (R-09)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Інтерв’ю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Показники KPI, автоматичні звіти, відтворення місій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ЗС-6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Служба зв’язку та ІТ, кібербезпека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Адміністратор (R-10), офіцер кібербезпеки (R-11)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Технічні наради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Керованість, захищеність, повний аудит дій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ЗС-7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Зовнішні системи і суміжні органи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Повітряні сили ЗСУ, національна система ситуаційної обізнаності, система тривоги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Аналіз документації інтерфейсів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Сумісні протоколи обміну даними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ЗС-8</w:t>
            </w:r>
          </w:p>
        </w:tc>
        <w:tc>
          <w:tcPr>
            <w:tcW w:type="dxa" w:w="187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Команда розробника</w:t>
            </w:r>
          </w:p>
        </w:tc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Бізнес-аналітик, архітектор, тестувальник</w:t>
            </w:r>
          </w:p>
        </w:tc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Робочі наради</w:t>
            </w:r>
          </w:p>
        </w:tc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Однозначні, перевірювані вимоги з трасуванням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Інтерв’ю з ключовими зацікавленими сторонами (приклад збору вимог з лекції [5]) проводилися за структурованим планом. Типові питання: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які дії під час відбиття атаки займають найбільше часу і де виникають помилки;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яку інформацію про ціль і розрахунок необхідно бачити для ухвалення рішення на пуск;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які рішення повинна ухвалювати лише людина, а які дії система може виконувати автоматично;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що відбувається при втраті зв’язку з позицією і як діє розрахунок у такому разі;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які звіти й показники потрібні командуванню та вищому органу управління і з якою періодичністю.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Спостереження за роботою зміни командного пункту та опитування розрахунків дозволили виявити неявні вимоги, які користувачі не називали в інтерв’ю: наприклад, необхідність нічної теми інтерфейсу та підтвердження завдання однією дією в рукавицях на планшеті.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4" w:name="_Toc00001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Функціональні вимоги</w:t>
      </w:r>
      <w:bookmarkEnd w:id="1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Зібрані функціональні вимоги наведено в табл. 1.5. Кожна вимога має унікальний код для відстеження [1], пріоритет, джерело та пов’язані варіанти використання. Пріоритети розподілено так: високий — 14, середній — 6, низький — 2 вимоги; вимоги високого пріоритету утворюють перші два інкременти (підрозділ 3.3).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1.5 — Функціональні вимоги до IoT-платформи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Система повинна…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Пріоритет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Джерело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Прецеденти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FR-01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реєструвати сенсорні вузли й периферійні шлюзи та контролювати їх стан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ЗС-4, ЗС-6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UC-13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приймати й нормалізувати виявлення від різнотипних сенсорів і телеметрію перехоплювачів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ЗС-2, ЗС-7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UC-01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FR-03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забезпечувати автономну роботу периферійного шлюзу з буферизацією даних у разі втрати зв’язку з ядром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ЗС-3, ЗС-6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UC-01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FR-04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зводити виявлення в повітряні треки та відображати єдину повітряну обстановку на карті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UC-02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FR-05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підтримувати класифікацію цілей: автоматична підказка та обов’язкове підтвердження аналітиком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UC-03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FR-06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оцінювати загрозу та формувати чергу цілей за пріоритетом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ЗС-1, ЗС-2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UC-02, UC-03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FR-07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перевіряти деконфлікцію з планами польотів дружньої авіації та зонами заборони ураження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ЗС-1, ЗС-7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UC-05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FR-08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рекомендувати розрахунки-кандидати з урахуванням готовності, ресурсу та метеоумов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UC-04, UC-06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FR-09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створювати бойове завдання (місію) і призначати на нього розрахунок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UC-04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FR-10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забезпечувати санкціонування пуску оперативним черговим із дотриманням правила двох осіб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ЗС-1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UC-07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FR-11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доставляти завдання на планшет розрахунку та фіксувати його прийняття або відхилення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ЗС-3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UC-08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</w:t>
            </w:r>
          </w:p>
        </w:tc>
        <w:tc>
          <w:tcPr>
            <w:tcW w:type="dxa" w:w="374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відображати хід місії (ціль і телеметрія перехоплювача) та дозволяти її скасування</w:t>
            </w:r>
          </w:p>
        </w:tc>
        <w:tc>
          <w:tcPr>
            <w:tcW w:type="dxa" w:w="146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ЗС-2, ЗС-3</w:t>
            </w:r>
          </w:p>
        </w:tc>
        <w:tc>
          <w:tcPr>
            <w:tcW w:type="dxa" w:w="181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UC-09, UC-10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1.5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Система повинна…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Пріоритет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Джерело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Прецеденти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фіксувати результат перехоплення і формувати звіт про перехоплення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ЗС-1, ЗС-5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UC-11, UC-17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FR-14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вести облік готовності розрахунків, перехоплювачів, АКБ та обслуговування техніки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ЗС-4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UC-14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FR-15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вести облік запасів і формувати заявки на поповнення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ЗС-4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UC-15, UC-16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FR-16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формувати сповіщення та ескалювати непідтверджені події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ЗС-2, ЗС-4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UC-23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FR-17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надавати аналітику KPI та відтворення записів місій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ЗС-5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UC-18, UC-19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FR-18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обмінюватися даними з національною системою ситуаційної обізнаності, Повітряними силами ЗСУ, системою тривоги та метеосервісом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ЗС-7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UC-12, UC-17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FR-19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управляти користувачами, ролями й автентифікацією (RBAC, двофакторна автентифікація)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ЗС-6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UC-20, UC-22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FR-20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вести незмінний журнал аудиту всіх команд і змін станів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ЗС-6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UC-21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FR-21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експортувати звіти у формати PDF і XLSX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Низький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ЗС-5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UC-17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FR-22</w:t>
            </w:r>
          </w:p>
        </w:tc>
        <w:tc>
          <w:tcPr>
            <w:tcW w:type="dxa" w:w="374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надавати тренувальний режим із симуляцією повітряної обстановки для підготовки операторів</w:t>
            </w:r>
          </w:p>
        </w:tc>
        <w:tc>
          <w:tcPr>
            <w:tcW w:type="dxa" w:w="146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Низький</w:t>
            </w:r>
          </w:p>
        </w:tc>
        <w:tc>
          <w:tcPr>
            <w:tcW w:type="dxa" w:w="134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ЗС-1</w:t>
            </w:r>
          </w:p>
        </w:tc>
        <w:tc>
          <w:tcPr>
            <w:tcW w:type="dxa" w:w="181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5" w:name="_Toc00001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Нефункціональні вимоги</w:t>
      </w:r>
      <w:bookmarkEnd w:id="1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Нефункціональні вимоги згруповано за характеристиками якості (продуктивність, надійність, безпека, зручність використання, супроводжуваність, сумісність), що відповідає моделі якості ISO/IEC 25010 [8], на яку посилається посібник [4], і переліку системних якостей SRS [1]. Кожна вимога має вимірюваний критерій, що дозволяє перевірити її під час тестування (табл. 1.6).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1.6 — Нефункціональні вимоги до IoT-платформи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Категорія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Критерій (метрика)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NFR-01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Продуктивність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Затримка «сенсор — екран АРМ»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2 с (95-й процентиль)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NFR-02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Продуктивність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Доставка бойового завдання на планшет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1 с (95-й процентиль)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NFR-03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Пропускна здатність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Пікове навантаження прийому даних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20 000 повідомлень/с; ≥ 500 треків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NFR-04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Масштабованість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Одночасні користувачі; горизонтальне масштабування сервісів реального часу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150 користувачів без деградації NFR-01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NFR-05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Доступність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Доступність ядра платформи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99,95 % на місяць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NFR-06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Надійність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Автономність шлюзу; відновлення ядра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4 год офлайн; RPO ≤ 5 с, RTO ≤ 60 с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NFR-07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Безпека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Взаємна автентифікація пристроїв і сервісів, шифрування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mTLS, TLS 1.3, AES-256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NFR-08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Безпека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Доступ користувачів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Двофакторна автентифікація, RBAC, блокування сеансу 15 хв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NFR-09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Аудит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Повнота і збереження журналу аудиту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100 % команд і змін станів; ≥ 3 роки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NFR-10</w:t>
            </w:r>
          </w:p>
        </w:tc>
        <w:tc>
          <w:tcPr>
            <w:tcW w:type="dxa" w:w="228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Зручність використання</w:t>
            </w:r>
          </w:p>
        </w:tc>
        <w:tc>
          <w:tcPr>
            <w:tcW w:type="dxa" w:w="309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Інтерфейс українською, нічна тема, умовні знаки APP-6</w:t>
            </w:r>
          </w:p>
        </w:tc>
        <w:tc>
          <w:tcPr>
            <w:tcW w:type="dxa" w:w="280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Санкціонування / прийняття завдання — ≤ 2 дії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1.6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Категорія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Критерій (метрика)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NFR-11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Зручність використання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Навчуваність нового оператора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8 год до самостійної роботи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NFR-12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Супроводжуваність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Модульна структура, автоматизовані тести, CI/CD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Покриття тестами критичних модулів ≥ 80 %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NFR-13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Сумісність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Клієнтські платформи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Chromium/Firefox (Linux, Windows); Android 12+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NFR-14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Зберігання даних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Строки зберігання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Телеметрія 30 діб повністю, 1 рік агреговано; місії 5 років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NFR-15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Відповідність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Закон України «Про захист інформації в інформаційно-комунікаційних системах», КСЗІ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Атестат відповідності КСЗІ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NFR-16</w:t>
            </w:r>
          </w:p>
        </w:tc>
        <w:tc>
          <w:tcPr>
            <w:tcW w:type="dxa" w:w="228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Безпека людини</w:t>
            </w:r>
          </w:p>
        </w:tc>
        <w:tc>
          <w:tcPr>
            <w:tcW w:type="dxa" w:w="309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Принцип «людина в контурі»</w:t>
            </w:r>
          </w:p>
        </w:tc>
        <w:tc>
          <w:tcPr>
            <w:tcW w:type="dxa" w:w="280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 пусків без санкції оперативного чергового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6" w:name="_Toc00001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4.4. Аналіз вимог</w:t>
      </w:r>
      <w:bookmarkEnd w:id="1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Аналіз вимог виконано за критеріями лекції [5] — коректність, повнота, узгодженість, пріоритети, конфлікти й дублювання: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коректність і однозначність: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кожна вимога сформульована як «Система повинна…» з одним дієсловом дії; нефункціональні вимоги мають числові критерії (табл. 1.6);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повнота: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кожна функціональна вимога, крім FR-22, трасується щонайменше до одного з 23 варіантів використання (табл. 1.5); FR-22 (тренувальний режим) свідомо віднесено до майбутнього інкременту і зафіксовано як відкладену;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узгодженість: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виявлено п’ять конфліктів і випадків дублювання, способи їх розв’язання наведено в табл. 1.7;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пріоритети: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вимоги, від яких залежить безпека людей і своєчасність рішення, мають високий пріоритет і реалізуються в перших інкрементах; аналітика й експорт — середній і низький.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1.7 — Виявлені конфлікти та дублювання вимог і способи їх розв’язання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Конфлікт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Вимоги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Розв’язання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Швидкодія проти шифрування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NFR-01, NFR-02 ↔ NFR-07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Постійні захищені з’єднання, апаратне прискорення TLS, пріоритизація трафіку завдань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Швидкість рішення проти обов’язкового підтвердження людиною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FR-08, NFR-01 ↔ FR-05, FR-10, NFR-16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Автоматичні підказки і рекомендації; підтвердження однією-двома діями (NFR-10)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Автономність шлюзу проти централізованого контролю місій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FR-03 ↔ FR-10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Локальне призначення лише у власному секторі; після відновлення зв’язку стан місій узгоджується за ядром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Повнота телеметрії й відео проти пропускної здатності каналів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FR-12, NFR-14 ↔ NFR-03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 пріоритету: завдання &gt; треки &gt; телеметрія &gt; відео; відео передається на вимогу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Дублювання функцій передачі звіту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 ↔ FR-18</w:t>
            </w:r>
          </w:p>
        </w:tc>
        <w:tc>
          <w:tcPr>
            <w:tcW w:type="dxa" w:w="432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Розмежовано: FR-13 — формування звіту, FR-18 — транспорт до зовнішніх систем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Управління вимогами передбачено за лекцією [5]: базову версію вимог зафіксовано після узгодження із замовником; зміни подаються як запити на зміну в системі Jira, кожен запит пов’язується з кодом вимоги, оцінюється за впливом на інкременти й затверджується замовником, а версія SRS збільшується.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7" w:name="_Toc00001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4.5. Діаграма варіантів використання</w:t>
      </w:r>
      <w:bookmarkEnd w:id="1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Актори системи визначені за ролями користувачів і зовнішніми системами (табл. 1.8). Ролі командного пункту узагальнено абстрактним актором «Персонал КП»: аналітик обстановки, оперативний черговий і офіцер бойового управління успадковують прецедент «Переглянути повітряну обстановку». Сенсорний вузол, наземна станція управління (НСУ) і національна система ситуаційної обізнаності позначені стереотипом «система» — це машинна взаємодія, характерна для IoT-систем.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1.8 — Актори IoT-платформи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Актор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Відповідальність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Варіанти використання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Персонал КП (абстрактний)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Узагальнення ролей командного пункту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UC-02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обстановки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Веде треки, підтверджує класифікацію цілей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UC-03 (+ UC-02)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Санкціонує пуск, оголошує режими готовності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UC-07 (+ UC-02)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Призначає розрахунки на цілі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UC-04 (+ UC-02)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Приймає завдання, доповідає про результат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UC-08, UC-11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 перехоплювача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Супроводжує місію, підтверджує ціль у фазі наведення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UC-09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Реєструє вузли, облікує справність техніки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UC-13, UC-14, UC-23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Логіст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Облікує запаси, формує заявки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UC-15, UC-16, UC-23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ефективності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Звіти, KPI, відтворення місій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UC-17, UC-18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Адміністратор системи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Користувачі, ролі, пристрої (без бойових прав)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UC-20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кібербезпеки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Аналіз журналу аудиту, реагування на інциденти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UC-21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Сенсорний вузол («система»)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Передає виявлення (M2M, MQTT / ASTERIX)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UC-01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НСУ розрахунку («система»)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Передає телеметрію перехоплювача (MAVLink 2)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UC-09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Національна система («система»)</w:t>
            </w:r>
          </w:p>
        </w:tc>
        <w:tc>
          <w:tcPr>
            <w:tcW w:type="dxa" w:w="409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Обмін обстановкою та звітами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UC-12, UC-17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читабельності 23 варіанти використання розподілено між двома діаграмами. Діаграма збору даних і бойового управління (рис. 1.5) відображає основний ланцюг «виявлення — класифікація — призначення — санкціонування — прийняття завдання — супровід — доповідь». Прецедент «UC-04 Призначити розрахунок» завжди включає «UC-05 Перевірити деконфлікцію» («include»), а «UC-06 Обрати резервний розрахунок» розширює його, коли обраний розрахунок не підтвердив завдання («extend»); «UC-10 Скасувати місію» розширює «UC-09 Супроводжувати місію».</w:t>
      </w:r>
    </w:p>
    <w:p>
      <w:pPr>
        <w:sectPr>
          <w:footerReference w:type="default" r:id="rId8"/>
          <w:headerReference w:type="default" r:id="rId9"/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8753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c_comb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875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1.5 — Діаграма варіантів використання: збір даних і бойове управління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ресурсів, звітності, інтеграції та адміністрування (рис. 1.6) охоплює облік техніки, запасів і сповіщень, звітність і аналітику, обмін даними з національною системою та функції безпеки. Прецеденти «UC-20 Керувати ролями користувачів» і «UC-21 Переглянути журнал аудиту» включають двофакторну автентифікацію («UC-22»), а «UC-19 Відтворити запис місії» розширює перегляд показників KPI.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51692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c_sup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16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1.6 — Діаграма варіантів використання: ресурси, звітність, інтеграція і адміністрування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Повний перелік варіантів використання з акторами наведено в табл. 1.9; трасування до функціональних вимог — у табл. 1.5.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1.9 — Перелік варіантів використання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Варіант використання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Актори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UC-01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Передати виявлення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Сенсорний вузол («система»)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UC-02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Переглянути повітряну обстановку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Персонал КП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UC-03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Класифікувати ціль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обстановки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UC-04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Призначити розрахунок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UC-05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Перевірити деконфлікцію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 (включається в UC-04)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UC-06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Обрати резервний розрахунок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 (розширює UC-04)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UC-07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Санкціонувати пуск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UC-08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Прийняти бойове завдання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UC-09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Супроводжувати місію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 перехоплювача; НСУ («система»)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UC-10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Скасувати місію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 (розширює UC-09)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UC-11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Доповісти про результат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UC-12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Обмінятися даними обстановки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Національна система («система»)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UC-13</w:t>
            </w:r>
          </w:p>
        </w:tc>
        <w:tc>
          <w:tcPr>
            <w:tcW w:type="dxa" w:w="409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Зареєструвати сенсорний вузол</w:t>
            </w:r>
          </w:p>
        </w:tc>
        <w:tc>
          <w:tcPr>
            <w:tcW w:type="dxa" w:w="420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1.9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Варіант використання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Актори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UC-14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Облікувати стан техніки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UC-15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Облікувати запаси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Логіст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UC-16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Подати заявку на поповнення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Логіст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UC-17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Скласти звіт про перехоплення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ефективності; національна система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UC-18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Переглянути показники KPI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ефективності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UC-19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Відтворити запис місії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 (розширює UC-18)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UC-20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Керувати ролями користувачів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Адміністратор системи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UC-21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Переглянути журнал аудиту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кібербезпеки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UC-22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Автентифікуватися (2FA)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 (включається в UC-20, UC-21)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UC-23</w:t>
            </w:r>
          </w:p>
        </w:tc>
        <w:tc>
          <w:tcPr>
            <w:tcW w:type="dxa" w:w="409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Опрацювати сповіщення</w:t>
            </w:r>
          </w:p>
        </w:tc>
        <w:tc>
          <w:tcPr>
            <w:tcW w:type="dxa" w:w="420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Технік, логіст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8" w:name="_Toc00001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4.6. Специфікації основних варіантів використання</w:t>
      </w:r>
      <w:bookmarkEnd w:id="1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Текстові специфікації складено для чотирьох прецедентів основного ланцюга ухвалення рішення (табл. 1.10–1.13) за структурою прикладу опису діаграм [7]: короткий опис, передумови, основний потік подій, альтернативні потоки, постумови. Кожна специфікація відповідає властивостям прецедента [6]: описує, що робить система, з погляду актора і завершується повідомленням акторові.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1.10 — Специфікація варіанта використання «UC-03 Класифікувати ціль»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Елемент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Зміст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Актори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обстановки (основний); класифікатор (підсистема)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Короткий опис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підтверджує або виправляє автоматичну класифікацію підтвердженого повітряного треку.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Трек має стан «Підтверджений»; користувач автентифікований і має роль аналітика.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Основний потік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Система показує трек у черзі на класифікацію разом із підказкою типу цілі та рівнем достовірності.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Система звіряє трек із планами польотів дружньої авіації.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Аналітик переглядає кінематику, джерела виявлень і відео.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 Аналітик підтверджує тип і належність цілі.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5. Система обчислює оцінку загрози, присвоює пріоритет і ставить ціль у чергу.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 потоки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3а. Трек корелює з планом польоту дружньої авіації — система блокує призначення й позначає трек як дружній.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4а. Належність неоднозначна — аналітик ескалює рішення оперативному черговому.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Трек має стан «Класифікований»; дію записано в журнал аудиту.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Вимоги</w:t>
            </w:r>
          </w:p>
        </w:tc>
        <w:tc>
          <w:tcPr>
            <w:tcW w:type="dxa" w:w="72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FR-05, FR-06, FR-20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1.11 — Специфікація варіанта використання «UC-04 Призначити розрахунок»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Елемент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Зміст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Актори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Короткий опис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Вибір розрахунку для перехоплення класифікованої ворожої цілі та створення місії.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Ціль має належність «ворожа» і перебуває в черзі; є щонайменше один розрахунок у стані «Готовий».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Основний потік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Офіцер обирає ціль із черги.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Система формує перелік кандидатів (готовність, допуск, ресурс перехоплювача й АКБ, метеоумови) і впорядковує його за прогнозним часом перехоплення.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Система виконує UC-05 «Перевірити деконфлікцію» («include»).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 Офіцер приймає рекомендацію або обирає інший розрахунок.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5. Система створює місію в стані «Запропонована» і передає її на санкціонування.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 потоки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2а. Немає жодного кандидата — система пропонує передати ціль суміжному центру.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3а. Деконфлікцію не пройдено — призначення заблоковано з поясненням причини.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Розрахунок не підтвердив завдання за 15 с — виконується UC-06 «Обрати резервний розрахунок» («extend»).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 створена й очікує санкціонування; дію записано в журнал аудиту.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Вимоги</w:t>
            </w:r>
          </w:p>
        </w:tc>
        <w:tc>
          <w:tcPr>
            <w:tcW w:type="dxa" w:w="72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FR-07, FR-08, FR-09, FR-20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1.12 — Специфікація варіанта використання «UC-07 Санкціонувати пуск»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Елемент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Зміст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Актори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Короткий опис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Людське рішення на пуск перехоплювача за запропонованою місією.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 має стан «Запропонована»; оперативний черговий автентифікований (2FA).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Основний потік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Система показує місію, ціль, обраний розрахунок і прогнозну точку перехоплення.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Оперативний черговий перевіряє обстановку і підтверджує санкцію.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Система переводить місію в стан «Санкціонована» і надсилає завдання розрахунку.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 потоки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1а. Точка перехоплення поблизу зони заборони ураження — діє правило двох осіб: санкціонує особа, відмінна від автора пропозиції.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2а. Оперативний черговий відхиляє місію — стан «Відхилена», ціль повертається в чергу.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Завдання надіслано розрахунку або місію відхилено; рішення зафіксовано в журналі аудиту.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Вимоги</w:t>
            </w:r>
          </w:p>
        </w:tc>
        <w:tc>
          <w:tcPr>
            <w:tcW w:type="dxa" w:w="72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FR-10, FR-11, FR-20, NFR-16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1.13 — Специфікація варіанта використання «UC-08 Прийняти бойове завдання»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Елемент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Зміст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Актори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Короткий опис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Прийняття розрахунком бойового завдання на планшеті.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 санкціонована; планшет розрахунку з’єднаний із периферійним шлюзом.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Основний потік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Система доставляє завдання з даними цілевказання на планшет (≤ 1 с).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Командир переглядає завдання і підтверджує прийняття.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Система фіксує час підтвердження і переводить розрахунок у стан «Призначений».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 потоки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2а. Технічна несправність — командир відхиляє завдання із зазначенням причини; система пропонує наступного кандидата.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2б. Немає відповіді 15 с — автоматична ескалація (UC-06).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Завдання прийнято або перепризначено; оперативний черговий бачить актуальний стан.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Вимоги</w:t>
            </w:r>
          </w:p>
        </w:tc>
        <w:tc>
          <w:tcPr>
            <w:tcW w:type="dxa" w:w="72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FR-11, FR-16, NFR-02</w:t>
            </w:r>
          </w:p>
        </w:tc>
      </w:tr>
    </w:tbl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9" w:name="_Toc00001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СПЕЦИФІКАЦІЯ СИСТЕМНИХ ВИМОГ IOT-ПЛАТФОРМИ «ЩИТ-ЛІНК»</w:t>
      </w:r>
      <w:bookmarkEnd w:id="1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Специфікацію складено за структурою SRS із теоретичного матеріалу практичної роботи [1] (підрозділ 2.3). Розділи 5.1–5.10 відповідають розділам 1–10 цієї структури.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0" w:name="_Toc00002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Вступ</w:t>
      </w:r>
      <w:bookmarkEnd w:id="20"/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5.1.1. Мета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визначає функціональні, системні та нефункціональні вимоги до IoT-платформи «Щит-Лінк» версії 1.0. Цільова аудиторія: замовник (командування центру), майбутні користувачі, бізнес-аналітик, архітектор, розробники, тестувальники та фахівці із захисту інформації. Документ є основою для проєктування (практичні роботи 2 і 4), планування інкрементів і розроблення тестів.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5.1.2. Сфера застосування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Система охоплює: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реєстрацію сенсорних вузлів і шлюзів; прийом і нормалізацію виявлень і телеметрії; злиття треків і повітряну обстановку; підтримку класифікації та оцінки загрози; деконфлікцію; призначення розрахунків, санкціонування пуску й доставку завдань; супровід місій; фіксацію результатів і звіти; облік готовності, обслуговування й запасів; сповіщення; аналітику KPI; інтеграцію із зовнішніми системами; управління доступом і аудит.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Система не охоплює: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автопілоти та прошивки дронів (взаємодія лише через протокол телеметрії), алгоритми наведення, засоби радіоелектронної боротьби, національні системи ситуаційної обізнаності та оповіщення населення (лише інтеграція з ними), складський облік матеріально-технічних засобів поза перехоплювачами й АКБ.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5.1.3. Визначення, акроніми та скорочення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1.14 — Визначення, акроніми та скорочення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Термін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Визначення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АКБ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Акумуляторна батарея перехоплювача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Автоматизоване робоче місце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Деконфлікція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Перевірка відсутності конфлікту з дружньою авіацією та зонами заборони ураження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КП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Командний пункт центру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КСЗІ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Комплексна система захисту інформації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Бойове завдання розрахунку на перехоплення конкретної цілі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НСУ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Наземна станція управління розрахунку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Периферійний шлюз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Обчислювальний вузол на позиції, що агрегує дані сенсорів і НСУ та працює автономно при втраті зв’язку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Повітряний трек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Сукупність виявлень, що належать одній повітряній цілі, з її кінематикою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Розрахунок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Група з 2–4 осіб, що обслуговує перехоплювачі на позиції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Цілевказання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Передавання розрахунку даних про ціль для виконання місії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2FA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Двофакторна автентифікація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KPI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Ключовий показник ефективності (Key Performance Indicator)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RBAC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Рольове управління доступом (Role-Based Access Control)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SRS</w:t>
            </w:r>
          </w:p>
        </w:tc>
        <w:tc>
          <w:tcPr>
            <w:tcW w:type="dxa" w:w="72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Специфікація вимог до програмного забезпечення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5.1.4. Посилання та огляд документа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ґрунтується на лекціях дисципліни [2; 5; 6], теоретичному матеріалі практичної роботи [1], посібниках [3; 4; 9; 10] і стандарті якості ISO/IEC 25010 [8]; оформлення — за ДСТУ 3008:2015 [11]. Розділ 5.2 пояснює причини створення системи, 5.3 — бізнес-контекст, 5.4 — ієрархію функціональних і системних вимог, 5.5 — випадки використання, 5.6–5.7 — технічні вимоги та системні якості, 5.8 — обмеження й припущення, 5.9 — критерії прийняття, 5.10 — додатки.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1" w:name="_Toc00002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Драйвери бізнесу</w:t>
      </w:r>
      <w:bookmarkEnd w:id="2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Потреба в системі зумовлена проблемами поточного (ручного) способу роботи центру та можливостями, які дає автоматизація (табл. 1.15). Головна бізнес-мета — скоротити цикл «виявлення — рішення — перехоплення» з хвилин до десятків секунд за збереження людського контролю над кожним пуском.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1.15 — Драйвери бізнесу: проблеми та можливості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Проблема поточного стану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Наслідок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Можливість нової системи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Виявлення надходять різними каналами (радіо, месенджери, окремі програми)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Дублі й суперечливі треки, втрачені секунди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Єдиний прийом через шлюзи та злиття треків (FR-02, FR-04)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Голосове цілевказання розрахункам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Затримка 30–90 с, помилки сприйняття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Цифрове завдання на планшет ≤ 1 с (FR-11, NFR-02)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Немає актуальної картини готовності розрахунків і перехоплювачів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Призначення не того розрахунку, простій резерву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 готовності в реальному часі (FR-08, FR-14)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Телеметрія не зберігається централізовано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Неможливий аналіз місій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Архів телеметрії, відтворення місій (FR-12, FR-17)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Ризик ураження дружньої авіації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Загроза людям і техніці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Обов’язкова деконфлікція та санкція людини (FR-07, FR-10, NFR-16)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Подавлення зв’язку засобами РЕБ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Втрата обстановки на позиції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Автономність шлюзу ≥ 4 год (FR-03, NFR-06)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Паперова звітність про результати й витрату</w:t>
            </w:r>
          </w:p>
        </w:tc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Повільне поповнення, спірні результати</w:t>
            </w:r>
          </w:p>
        </w:tc>
        <w:tc>
          <w:tcPr>
            <w:tcW w:type="dxa" w:w="362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Автоматичні звіти та облік витрати (FR-13, FR-15)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2" w:name="_Toc00002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Бізнес-модель</w:t>
      </w:r>
      <w:bookmarkEnd w:id="2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підтримує бізнес-модель цілодобового бойового чергування центру. Ключові бізнес-процеси та функціональні вимоги, якими система їх підтримує, наведено в табл. 1.16. Межі системи та її інформаційні зв’язки з користувачами й зовнішніми системами показано на контекстній схемі (рис. 1.7).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1.16 — Бізнес-процеси центру та їх підтримка системою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Бізнес-процес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Підтримка (FR)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BP-01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Реєстрація та контроль стану сенсорних вузлів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FR-01, FR-16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BP-02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Прийом і нормалізація телеметрії та виявлень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FR-02, FR-03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BP-03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Злиття виявлень і формування треків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FR-04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BP-04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Класифікація та оцінка загрози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FR-05, FR-06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BP-05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Підбір і призначення розрахунку, санкціонування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FR-08…FR-11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BP-06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Виконання та супровід місії перехоплення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BP-07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Оцінка результату та звітність про перехоплення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FR-13, FR-18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BP-08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 готовності, обслуговування та логістика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FR-14, FR-15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BP-09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Деконфлікція повітряного простору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FR-07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BP-10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Робота в деградованому режимі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FR-03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BP-11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Аналітика та звітність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FR-17, FR-21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BP-12</w:t>
            </w:r>
          </w:p>
        </w:tc>
        <w:tc>
          <w:tcPr>
            <w:tcW w:type="dxa" w:w="561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Управління доступом і кібербезпека</w:t>
            </w:r>
          </w:p>
        </w:tc>
        <w:tc>
          <w:tcPr>
            <w:tcW w:type="dxa" w:w="268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FR-19, FR-20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7948799" cy="52176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48799" cy="5217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1.7 — Контекстна схема IoT-платформи «Щит-Лінк»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Вхідні потоки системи — виявлення й стан сенсорних вузлів, телеметрія перехоплювачів, плани польотів дружньої авіації, метеодані; вихідні — цілевказання і бойові завдання розрахункам, сповіщення про загрозу, донесення до національної системи; двобічний обмін ведеться з персоналом КП (обстановка, рішення, санкції), розрахунками, службами забезпечення та національною системою.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3" w:name="_Toc00002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5.4. Функціональні та системні вимоги</w:t>
      </w:r>
      <w:bookmarkEnd w:id="2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Відповідно до структури SRS [1] функціональні вимоги верхнього рівня (табл. 1.5) деталізовано до 30 системних вимог, що описують дані, реакції та поведінку системи. Системні вимоги згруповано за чотирма підсистемами (табл. 1.17–1.20); код SR-x.y однозначно ідентифікує вимогу, а стовпець «FR» забезпечує трасування до вимоги верхнього рівня.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1.17 — Системні вимоги підсистеми «Збір даних і повітряна обстановка»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Системна вимога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FR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SR-1.1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Шлюз приймає повідомлення MQTT 5 від акустичних вузлів і ASTERIX CAT048/062 від РЛС; повідомлення від джерела без чинного сертифіката X.509 відхиляється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FR-01, FR-02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SR-1.2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Кожне повідомлення перевіряється за схемою і часовою міткою (розбіжність ≤ 200 мс) та перетворюється в канонічну модель (WGS-84, UTC, одиниці СІ)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SR-1.3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Повідомлення, старші за 10 с, позначаються як запізнілі й не беруть участі в оперативному злитті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FR-02, FR-04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SR-1.4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Вузол, що пропустив 3 контрольні сигнали, переходить у стан «Деградований», 10 — «Поза мережею» зі сповіщенням технікові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FR-01, FR-16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SR-1.5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 відсутності зв’язку з ядром шлюз буферизує дані до 4 год і передає їх після відновлення з первинними мітками часу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FR-03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SR-1.6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Трек стає «Підтвердженим» після ≥ 3 узгоджених оновлень від ≥ 2 типів сенсорів; трек без оновлень 60 с отримує стан «Втрачений»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FR-04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SR-1.7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Оновлення треків доставляються на АРМ через WebSocket у вигляді приростів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FR-04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SR-1.8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Належність «ворожа» зберігається лише після підтвердження аналітиком; підказка класифікатора відображається з рівнем достовірності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FR-05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SR-1.9</w:t>
            </w:r>
          </w:p>
        </w:tc>
        <w:tc>
          <w:tcPr>
            <w:tcW w:type="dxa" w:w="678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Пріоритет цілі обчислюється за часом підльоту, категорією об’єкта прикриття (I–III) і типом цілі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FR-06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1.18 — Системні вимоги підсистеми «Бойове управління»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Системна вимога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FR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SR-2.1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 переліку кандидатів потрапляють лише розрахунки в стані «Готовий» із чинним допуском, справним перехоплювачем, зарядом АКБ не нижче порогу і метеоумовами в межах обмежень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FR-08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SR-2.2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Трек, що корелює з планом польоту дружньої авіації, блокується для призначення; точка перехоплення в зоні заборони ураження не допускається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FR-07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SR-2.3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 створюється в стані «Запропонована» з фіксацією автора і часу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FR-09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SR-2.4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Санкціонування виконує оперативний черговий; поблизу зони заборони ураження діє правило двох осіб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FR-10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SR-2.5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Завдання доставляється на планшет за ≤ 1 с; відсутність підтвердження протягом 15 с ініціює ескалацію до наступного кандидата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FR-11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SR-2.6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Телеметрія перехоплювача (≥ 5 Гц) і трек цілі відображаються разом; оновлення цілі передаються на НСУ з частотою ≥ 1 Гц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SR-2.7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Скасування місії доступне до її закриття; скасування обов’язкове, якщо ціль перекласифіковано як дружню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SR-2.8</w:t>
            </w:r>
          </w:p>
        </w:tc>
        <w:tc>
          <w:tcPr>
            <w:tcW w:type="dxa" w:w="678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Закриття місії вимагає результату (влучання, промах, скасовано, втрачено) з прикріпленими телеметрією і відео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1.19 — Системні вимоги підсистеми «Ресурси, аналітика та інтеграція»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Системна вимога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FR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SR-3.1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Перехоплювач із відкритим дефектом не може мати стан «Готовий»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FR-14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SR-3.2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АКБ пропонується до списання після 300 циклів або при ємності &lt; 80 %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FR-14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SR-3.3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Залишок нижче мінімуму (дві ночі × середня витрата) формує сповіщення і чернетку заявки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FR-15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SR-3.4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Сповіщення мають рівні «інформаційне», «попередження», «критичне»; непідтверджене критичне сповіщення ескалюється через 30 с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FR-16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SR-3.5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 про перехоплення надсилається вищому органу управління ≤ 15 хв; результат «підтверджено» — лише за ≥ 2 незалежних доказів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FR-13, FR-18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SR-3.6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Панель KPI показує час «виявлення — призначення», «призначення — пуск», частку успішних перехоплень, доступність сенсорів, частку хибних тривог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FR-17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SR-3.7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Обмін із національною системою — Cursor-on-Target або REST API; плани польотів імпортуються не рідше одного разу на хвилину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FR-18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SR-3.8</w:t>
            </w:r>
          </w:p>
        </w:tc>
        <w:tc>
          <w:tcPr>
            <w:tcW w:type="dxa" w:w="678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Звіти експортуються у PDF і XLSX із збереженням структури таблиць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FR-21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1.20 — Системні вимоги підсистеми «Безпека та адміністрування»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Системна вимога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FR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SR-4.1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Вхід через OIDC з обов’язковою двофакторною автентифікацією; сеанс АРМ блокується після 15 хв бездіяльності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FR-19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SR-4.2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Права надаються за ролями (RBAC) з обмеженням за сектором; адміністратор не має бойових прав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FR-19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SR-4.3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Зміна ролі користувача набирає чинності після затвердження начальником центру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FR-19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SR-4.4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Кожна команда, класифікація, санкція і вхід записуються в журнал аудиту з ланцюжком хешів; записи не редагуються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FR-20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SR-4.5</w:t>
            </w:r>
          </w:p>
        </w:tc>
        <w:tc>
          <w:tcPr>
            <w:tcW w:type="dxa" w:w="678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Журнал аудиту зберігається ≥ 3 роки; офіцер кібербезпеки має доступ лише для читання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4" w:name="_Toc00002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5.5. Випадки використання системи</w:t>
      </w:r>
      <w:bookmarkEnd w:id="2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Поведінку системи з погляду користувачів описано 23 варіантами використання для 14 акторів (підрозділ 4.5, рис. 1.5, 1.6, табл. 1.9). Специфікації ключових прецедентів наведено в підрозділі 4.6. Кожен варіант використання трасується до функціональних вимог, а через них — до системних вимог розділу 5.4 і критеріїв прийняття розділу 5.9.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5" w:name="_Toc00002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5.6. Технічні вимоги</w:t>
      </w:r>
      <w:bookmarkEnd w:id="2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Технічні вимоги визначають середовище функціонування: обладнання (табл. 1.21), програмне забезпечення (табл. 1.22), мережу та протоколи інтеграції (табл. 1.23). Показники продуктивності встановлено вимогами NFR-01…NFR-04 (табл. 1.6).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1.21 — Вимоги до обладнання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Вузол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Мінімальні вимоги</w:t>
            </w:r>
          </w:p>
        </w:tc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Кількість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Сервер ядра (2 майданчики, активний і резервний)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× CPU 16 ядер, 128 ГБ ОЗП, NVMe 4 ТБ (RAID 10), 2 × 10 Гбіт/с</w:t>
            </w:r>
          </w:p>
        </w:tc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 (2 + 2)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Периферійний шлюз позиції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Захищений промисловий ПК: CPU 8 ядер, 16 ГБ ОЗП, SSD 512 ГБ, живлення від АКБ ≥ 4 год, модулі mesh-радіо / LTE / супутникового зв’язку</w:t>
            </w:r>
          </w:p>
        </w:tc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 + 2 резерв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 командного пункту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CPU 6 ядер, 16 ГБ ОЗП, 2 монітори ≥ 27″</w:t>
            </w:r>
          </w:p>
        </w:tc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Планшет розрахунку</w:t>
            </w:r>
          </w:p>
        </w:tc>
        <w:tc>
          <w:tcPr>
            <w:tcW w:type="dxa" w:w="561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Захищений Android-планшет 10″, IP67, яскравість ≥ 800 кд/м²</w:t>
            </w:r>
          </w:p>
        </w:tc>
        <w:tc>
          <w:tcPr>
            <w:tcW w:type="dxa" w:w="140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+ 4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1.22 — Вимоги до програмного забезпечення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Призначення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Програмні засоби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Операційні системи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Linux (ядро, шлюзи, контейнери Docker/Podman); Android 12+ (планшети)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Системи керування базами даних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PostgreSQL 16 з PostGIS (просторові дані); TimescaleDB (телеметрія)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Обмін повідомленнями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Брокер MQTT 5 на шлюзах; шина подій Apache Kafka або NATS JetStream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Ідентифікація і доступ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Keycloak (OIDC, 2FA); інфраструктура відкритих ключів для сертифікатів пристроїв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Клієнтська частина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Веб-застосунок (TypeScript) для Chromium / Firefox; мобільний застосунок Android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Розроблення і DevOps</w:t>
            </w:r>
          </w:p>
        </w:tc>
        <w:tc>
          <w:tcPr>
            <w:tcW w:type="dxa" w:w="643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Git, CI/CD-конвеєр (GitLab CI або Jenkins), система моніторингу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1.23 — Мережа, протоколи та інтеграція з іншими системами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Зв’язок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Протокол / формат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Вимога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Акустичний вузол → шлюз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MQTT 5 over TLS, QoS 1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1–5 повідомлень/с на вузол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РЛС → шлюз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ASTERIX CAT048 / CAT062 (UDP)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Оновлення 1 Гц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Перехоплювач ↔ НСУ → шлюз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MAVLink 2 з підписом повідомлень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Телеметрія ≥ 5 Гц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Шлюз ↔ ядро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gRPC / MQTT через VPN (mTLS); mesh-радіо, LTE, супутник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 пріоритету: завдання &gt; треки &gt; телеметрія &gt; відео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Ядро ↔ АРМ і планшети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WebSocket (прирости), REST/JSON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NFR-01, NFR-02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Ядро ↔ національна система</w:t>
            </w:r>
          </w:p>
        </w:tc>
        <w:tc>
          <w:tcPr>
            <w:tcW w:type="dxa" w:w="315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Cursor-on-Target (XML), REST API</w:t>
            </w:r>
          </w:p>
        </w:tc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 ≤ 15 хв (SR-3.5)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6" w:name="_Toc00002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5.7. Системні якості</w:t>
      </w:r>
      <w:bookmarkEnd w:id="2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Системні якості (нефункціональні атрибути) за переліком SRS [1] деталізовано в табл. 1.24: для кожного атрибута вказано вимогу, спосіб забезпечення в архітектурі та метрику перевірки.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1.24 — Системні якості IoT-платформи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Спосіб забезпечення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Метрика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Надійність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Функціонування при відмові вузла або каналу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Два майданчики ядра, реплікація потоків, автономні шлюзи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RPO ≤ 5 с; RTO ≤ 60 с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Безпека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Захист даних і авторизований доступ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mTLS, 2FA, RBAC, журнал аудиту з ланцюжком хешів, КСЗІ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 критичних вразливостей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Масштабованість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Зростання кількості сенсорів і користувачів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Горизонтальне масштабування сервісів реального часу, шина подій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×2 навантаження без зміни коду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Ремонтопридатність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Легкість оновлення та виправлення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Модульна архітектура, CI/CD, автоматизовані тести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Оновлення без простою ядра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Доступність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Цілодобова робота</w:t>
            </w:r>
          </w:p>
        </w:tc>
        <w:tc>
          <w:tcPr>
            <w:tcW w:type="dxa" w:w="280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Резервування, моніторинг, оновлення без зупинки</w:t>
            </w:r>
          </w:p>
        </w:tc>
        <w:tc>
          <w:tcPr>
            <w:tcW w:type="dxa" w:w="187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99,95 % на місяць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7" w:name="_Toc00002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5.8. Обмеження та припущення</w:t>
      </w:r>
      <w:bookmarkEnd w:id="2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Обмеження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визначені замовником і середовищем: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рішення на пуск ухвалює лише людина — оперативний черговий (NFR-16); система не має функцій автоматичного застосування;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система обробляє службову інформацію і повинна отримати атестат КСЗІ (NFR-15); дані зберігаються лише на власних серверах центру, без публічних хмарних сервісів;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взаємодія з дронами — лише через стандартний протокол телеметрії MAVLink 2, без зміни їх прошивок;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канали зв’язку з позиціями мають обмежену пропускну здатність і можуть бути подавлені засобами РЕБ;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бюджет і строки визначають інкрементну поставку (підрозділ 3.3).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Припущення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команди розробника: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сенсорні вузли та НСУ підтримують протоколи MQTT 5, ASTERIX і MAVLink 2 або мають адаптери;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національна система ситуаційної обізнаності надає документований інтерфейс обміну;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на позиціях доступне електроживлення або резервні АКБ для шлюзів;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користувачі пройдуть навчання роботі з АРМ і планшетом до введення системи в дію;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часова синхронізація вузлів забезпечується приймачами ГНСС із резервним NTP.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8" w:name="_Toc00002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5.9. Критерії прийняття</w:t>
      </w:r>
      <w:bookmarkEnd w:id="2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вважається завершеною і готовою до передавання замовнику після виконання критеріїв табл. 1.25. Методи перевірки відповідають видам тестування лекції [12]: функціональне тестування методом «чорного ящика», нефункціональне (навантажувальне, безпеки, зручності) та приймальне тестування.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1.25 — Критерії прийняття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Критерій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Метод перевірки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AC-01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Усі функціональні вимоги високого пріоритету виконано; тест-кейси для кожного варіанта використання пройдено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Функціональне тестування («чорний ящик»)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AC-02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Затримка «сенсор — екран» ≤ 2 с і доставка завдання ≤ 1 с при 20 000 повідомлень/с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Навантажувальне тестування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AC-03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Шлюз працює 4 год без зв’язку з ядром і синхронізує дані після відновлення без втрат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Системне тестування з імітацією відмови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AC-04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Жоден пуск неможливий без санкції; правило двох осіб діє поблизу зон заборони ураження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Тестування безпеки, сценарні тести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AC-05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100 % команд і змін станів записано в журнал аудиту; спроба редагування виявляється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Тестування безпеки, аудит журналу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AC-06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Оператори після 8 год навчання виконують типові сценарії без сторонньої допомоги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Тестування зручності використання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AC-07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Отримано атестат відповідності КСЗІ; критичних вразливостей не виявлено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Державна експертиза, тестування на проникнення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AC-08</w:t>
            </w:r>
          </w:p>
        </w:tc>
        <w:tc>
          <w:tcPr>
            <w:tcW w:type="dxa" w:w="514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Замовник підписав акт приймання за результатами дослідної експлуатації</w:t>
            </w:r>
          </w:p>
        </w:tc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Приймальне тестування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9" w:name="_Toc00002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5.10. Додатки</w:t>
      </w:r>
      <w:bookmarkEnd w:id="2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 специфікації належать: концептуальна модель даних (рис. 1.3, 1.4, табл. 1.2); перелік визначень і скорочень (табл. 1.14); діаграми та специфікації варіантів використання (підрозділи 4.5–4.6). Детальні робочі процеси (BPMN, UML-діаграми діяльності й послідовності) та архітектура IoT-рішення будуть розроблені в практичних роботах 2 і 4.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30" w:name="_Toc00003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3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практичній роботі вивчено методи збору, аналізу та документування вимог до програмного забезпечення та застосовано їх до власного програмного продукту з використанням інтернету речей — IoT-платформи «Щит-Лінк» умовного РЦПДО «Щит-Північ».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Обрано тему «Розподілена IoT-система цілевказівки та координації дронів для перехоплення повітряних цілей». Продукт поєднує веб-орієнтовану систему, мобільний застосунок і додаток периферійного шлюзу; IoT-складова — машинна взаємодія сенсорів, шлюзів і наземних станцій управління з ядром. Спроєктовано базу даних з 11 зв’язаних таблиць із планом тестового наповнення. Обґрунтовано комбіновану модель життєвого циклу: інкрементна розробка з V-моделлю в кожному інкременті та випуском і супроводом за моделлю DevOps.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Для 8 груп зацікавлених сторін визначено методи збору вимог (інтерв’ю, опитування, наради, спостереження, аналіз документів). Зібрано 22 функціональних вимог (високий пріоритет — 14) і 16 нефункціональних вимог із вимірюваними критеріями; під час аналізу виявлено й розв’язано 5 конфліктів і випадків дублювання.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Побудовано дві діаграми варіантів використання (23 прецеденти, 14 акторів, відношення «include», «extend» і узагальнення акторів) і специфікації чотирьох ключових прецедентів.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Складено специфікацію системних вимог за десятирозділовою структурою SRS: драйвери бізнесу, бізнес-модель із контекстною схемою, 30 системних вимог із трасуванням до функціональних, технічні вимоги, системні якості, обмеження, припущення та вісім критеріїв прийняття.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Отримана SRS забезпечує наскрізне трасування вимог і є вихідним документом для практичних робіт 2 і 4.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31" w:name="_Toc00003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31"/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Практична робота 1. Збір та документування вимог для програмного продукту : завдання та теоретичний матеріал з дисципліни «Технології створення програмних продуктів». Київ : КНУ імені Тараса Шевченка, 2026. 6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Життєвий цикл та моделі життєвого циклу програмного продукту : лекція 1 з дисципліни «Технології створення програмних продуктів» / викл. О. В. Кравченко. Київ : КНУ імені Тараса Шевченка, 2026. 40 слайдів.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Гнатовська Г. А. Конспект лекцій з дисципліни «Технологія створення програмних продуктів». Одеса : ОДЕКУ, 2015. 96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Дегтярьова Л. М., Гроза П. М., Сомов С. В. Навчальний посібник з дисципліни «Технології розробки програмного забезпечення». Полтава : ПолтНТУ, 2017. 218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Вимоги до програмного забезпечення: збір, аналіз, управління : лекція 2 з дисципліни «Технології створення програмних продуктів» / викл. О. В. Кравченко. Київ : КНУ імені Тараса Шевченка, 2026. 9 слайдів.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Технологія RUP : лекція 8 з дисципліни «Технології створення програмних продуктів» / викл. О. В. Кравченко. Київ : КНУ імені Тараса Шевченка, 2026. 46 слайдів.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Розробка UML-моделі інформаційної системи «Овочева база» : приклад опису діаграм курсової роботи. Київ, 2020. 18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ISO/IEC 25010:2011. Systems and software engineering — Systems and software Quality Requirements and Evaluation (SQuaRE) — System and software quality models. Geneva : ISO, 2011. 34 p.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Алексенко О. В. Технології програмування та створення програмних продуктів : конспект лекцій. Суми : СумДУ, 2013. 133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10. Карпенко М. Ю., Манакова Н. О., Гавриленко І. О. Технології створення програмних продуктів та інформаційних систем : навч. посібник. Харків : ХНУМГ ім. О. М. Бекетова, 2017. 93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11. ДСТУ 3008:2015. Інформація та документація. Звіти у сфері науки і техніки. Структура та правила оформлювання. Київ : ДП «УкрНДНЦ», 2016. 26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12. Тестування програмних продуктів : лекція 6 з дисципліни «Технології створення програмних продуктів» / викл. О. В. Кравченко. Київ : КНУ імені Тараса Шевченка, 2026. 24 слайди.</w:t>
      </w:r>
    </w:p>
    <w:sectPr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3</cp:revision>
  <dcterms:modified xsi:type="dcterms:W3CDTF">2026-10-04T07:49:39Z</dcterms:modified>
  <dc:title>Практична робота №1. Збір та документування вимог для програмного продукту</dc:title>
  <dc:subject>Технології створення програмних продуктів</dc:subject>
  <dc:language>uk-UA</dc:language>
</cp:coreProperties>
</file>