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119ED9">
      <w:pPr>
        <w:pBdr/>
        <w:spacing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I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4A9C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КИЇВСЬКИЙ НАЦІОНАЛЬНИЙ УНІВЕРСИТЕТ ІМЕНІ ТАРАСА ШЕВЧЕНКА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0A397E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AA494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ІНФОРМАЦІЙНИХ СИСТЕМ ТА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FFBB8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  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A9E5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№ </w:t>
      </w:r>
      <w:r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E07F4D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 дисципліни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Технології створення програмних продуктів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905C1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1C88FC">
      <w:pPr>
        <w:pBdr/>
        <w:spacing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sz w:val="28"/>
          <w:szCs w:val="28"/>
        </w:rPr>
        <w:t>Архітектура IoT екосистеми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222511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8929217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CB31CD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 Виконав: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B43C91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 студент гр. ІР-31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84BA6D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Петро Кравченко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C4C0C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 Перевірив: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BA42A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Зараховано від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59EC8F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Кравченко Ольга Віталіївна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78369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___________________________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37E8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(підпис викладача)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CAD3C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86A18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Київ-2026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sectPr>
          <w:footerReference w:type="first" r:id="rId10"/>
          <w:footerReference w:type="default" r:id="rId11"/>
          <w:headerReference w:type="first" r:id="rId12"/>
          <w:headerReference w:type="default" r:id="rId13"/>
          <w:footnotePr/>
          <w:endnotePr/>
          <w:type w:val="nextPage"/>
          <w:pgSz w:h="16838" w:orient="portrait" w:w="11906"/>
          <w:pgMar w:top="1134" w:right="850" w:bottom="1134" w:left="1701" w:header="709" w:footer="709" w:gutter="0"/>
          <w:cols w:num="1" w:sep="0" w:space="708" w:equalWidth="1"/>
          <w:titlePg/>
        </w:sectPr>
      </w:pPr>
    </w:p>
    <w:p>
      <w:pPr>
        <w:keepNext w:val="0"/>
        <w:widowControl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ЗМІСТ</w:t>
      </w:r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000001" w:history="1">
        <w:r>
          <w:rPr>
            <w:rFonts w:ascii="Times New Roman" w:hAnsi="Times New Roman" w:cs="Times New Roman"/>
            <w:sz w:val="28"/>
            <w:szCs w:val="28"/>
          </w:rPr>
          <w:t xml:space="preserve">1. МЕТА ТА ЗАВДАННЯ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2" w:history="1">
        <w:r>
          <w:rPr>
            <w:rFonts w:ascii="Times New Roman" w:hAnsi="Times New Roman" w:cs="Times New Roman"/>
            <w:sz w:val="28"/>
            <w:szCs w:val="28"/>
          </w:rPr>
          <w:t xml:space="preserve">2. ТЕОРЕТИЧНІ ВІДОМОСТІ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3" w:history="1">
        <w:r>
          <w:rPr>
            <w:rFonts w:ascii="Times New Roman" w:hAnsi="Times New Roman" w:cs="Times New Roman"/>
            <w:sz w:val="28"/>
            <w:szCs w:val="28"/>
          </w:rPr>
          <w:t xml:space="preserve">2.1. IoT-екосистема та рівні архітектури IoT-рішення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4" w:history="1">
        <w:r>
          <w:rPr>
            <w:rFonts w:ascii="Times New Roman" w:hAnsi="Times New Roman" w:cs="Times New Roman"/>
            <w:sz w:val="28"/>
            <w:szCs w:val="28"/>
          </w:rPr>
          <w:t xml:space="preserve">2.2. Архітектурні стилі програмних систем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5" w:history="1">
        <w:r>
          <w:rPr>
            <w:rFonts w:ascii="Times New Roman" w:hAnsi="Times New Roman" w:cs="Times New Roman"/>
            <w:sz w:val="28"/>
            <w:szCs w:val="28"/>
          </w:rPr>
          <w:t xml:space="preserve">2.3. Шаблони проектування та принципи SOLID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_Toc000005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6" w:history="1">
        <w:r>
          <w:rPr>
            <w:rFonts w:ascii="Times New Roman" w:hAnsi="Times New Roman" w:cs="Times New Roman"/>
            <w:sz w:val="28"/>
            <w:szCs w:val="28"/>
          </w:rPr>
          <w:t xml:space="preserve">3. ВИБІР РІВНІВ РЕАЛІЗАЦІЇ ПРОГРАМНОГО ПРОДУКТУ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_Toc000006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7" w:history="1">
        <w:r>
          <w:rPr>
            <w:rFonts w:ascii="Times New Roman" w:hAnsi="Times New Roman" w:cs="Times New Roman"/>
            <w:sz w:val="28"/>
            <w:szCs w:val="28"/>
          </w:rPr>
          <w:t xml:space="preserve">3.1. Вихідні вимоги до архітектури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_Toc000007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8" w:history="1">
        <w:r>
          <w:rPr>
            <w:rFonts w:ascii="Times New Roman" w:hAnsi="Times New Roman" w:cs="Times New Roman"/>
            <w:sz w:val="28"/>
            <w:szCs w:val="28"/>
          </w:rPr>
          <w:t xml:space="preserve">3.2. Вибір рівнів реалізації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_Toc000008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9" w:history="1">
        <w:r>
          <w:rPr>
            <w:rFonts w:ascii="Times New Roman" w:hAnsi="Times New Roman" w:cs="Times New Roman"/>
            <w:sz w:val="28"/>
            <w:szCs w:val="28"/>
          </w:rPr>
          <w:t xml:space="preserve">3.3. Вибір архітектурного стилю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_Toc000009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8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10" w:history="1">
        <w:r>
          <w:rPr>
            <w:rFonts w:ascii="Times New Roman" w:hAnsi="Times New Roman" w:cs="Times New Roman"/>
            <w:sz w:val="28"/>
            <w:szCs w:val="28"/>
          </w:rPr>
          <w:t xml:space="preserve">4. АРХІТЕКТУРА IOT-ЕКОСИСТЕМИ «ЩИТ-ЛІНК»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_Toc000010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1" w:history="1">
        <w:r>
          <w:rPr>
            <w:rFonts w:ascii="Times New Roman" w:hAnsi="Times New Roman" w:cs="Times New Roman"/>
            <w:sz w:val="28"/>
            <w:szCs w:val="28"/>
          </w:rPr>
          <w:t xml:space="preserve">4.1. Загальна схема архітектури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2" w:history="1">
        <w:r>
          <w:rPr>
            <w:rFonts w:ascii="Times New Roman" w:hAnsi="Times New Roman" w:cs="Times New Roman"/>
            <w:sz w:val="28"/>
            <w:szCs w:val="28"/>
          </w:rPr>
          <w:t xml:space="preserve">4.2. Рівень датчиків (сприйняття)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3" w:history="1">
        <w:r>
          <w:rPr>
            <w:rFonts w:ascii="Times New Roman" w:hAnsi="Times New Roman" w:cs="Times New Roman"/>
            <w:sz w:val="28"/>
            <w:szCs w:val="28"/>
          </w:rPr>
          <w:t xml:space="preserve">4.3. Мережевий рівень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4" w:history="1">
        <w:r>
          <w:rPr>
            <w:rFonts w:ascii="Times New Roman" w:hAnsi="Times New Roman" w:cs="Times New Roman"/>
            <w:sz w:val="28"/>
            <w:szCs w:val="28"/>
          </w:rPr>
          <w:t xml:space="preserve">4.4. Рівень обробки даних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5" w:history="1">
        <w:r>
          <w:rPr>
            <w:rFonts w:ascii="Times New Roman" w:hAnsi="Times New Roman" w:cs="Times New Roman"/>
            <w:sz w:val="28"/>
            <w:szCs w:val="28"/>
          </w:rPr>
          <w:t xml:space="preserve">4.5. Рівень застосунків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_Toc000015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6" w:history="1">
        <w:r>
          <w:rPr>
            <w:rFonts w:ascii="Times New Roman" w:hAnsi="Times New Roman" w:cs="Times New Roman"/>
            <w:sz w:val="28"/>
            <w:szCs w:val="28"/>
          </w:rPr>
          <w:t xml:space="preserve">4.6. Фізичне розміщення компонентів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_Toc000016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7" w:history="1">
        <w:r>
          <w:rPr>
            <w:rFonts w:ascii="Times New Roman" w:hAnsi="Times New Roman" w:cs="Times New Roman"/>
            <w:sz w:val="28"/>
            <w:szCs w:val="28"/>
          </w:rPr>
          <w:t xml:space="preserve">4.7. Наскрізний потік даних і бюджет затримок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_Toc000017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18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8" w:history="1">
        <w:r>
          <w:rPr>
            <w:rFonts w:ascii="Times New Roman" w:hAnsi="Times New Roman" w:cs="Times New Roman"/>
            <w:sz w:val="28"/>
            <w:szCs w:val="28"/>
          </w:rPr>
          <w:t xml:space="preserve">4.8. Безпека та надійність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_Toc000018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19" w:history="1">
        <w:r>
          <w:rPr>
            <w:rFonts w:ascii="Times New Roman" w:hAnsi="Times New Roman" w:cs="Times New Roman"/>
            <w:sz w:val="28"/>
            <w:szCs w:val="28"/>
          </w:rPr>
          <w:t xml:space="preserve">4.9. Шаблони проектування та принципи SOLID в архітектурі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_Toc000019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20" w:history="1">
        <w:r>
          <w:rPr>
            <w:rFonts w:ascii="Times New Roman" w:hAnsi="Times New Roman" w:cs="Times New Roman"/>
            <w:sz w:val="28"/>
            <w:szCs w:val="28"/>
          </w:rPr>
          <w:t xml:space="preserve">4.10. Відповідність архітектури вимогам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_Toc000020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21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21" w:history="1">
        <w:r>
          <w:rPr>
            <w:rFonts w:ascii="Times New Roman" w:hAnsi="Times New Roman" w:cs="Times New Roman"/>
            <w:sz w:val="28"/>
            <w:szCs w:val="28"/>
          </w:rPr>
          <w:t xml:space="preserve">ВИСНОВКИ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_Toc000021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22" w:history="1">
        <w:r>
          <w:rPr>
            <w:rFonts w:ascii="Times New Roman" w:hAnsi="Times New Roman" w:cs="Times New Roman"/>
            <w:sz w:val="28"/>
            <w:szCs w:val="28"/>
          </w:rPr>
          <w:t xml:space="preserve">СПИСОК ВИКОРИСТАНИХ ДЖЕРЕЛ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_Toc000022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  <w:fldChar w:fldCharType="end"/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" w:name="_Toc00000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МЕТА ТА ЗАВДАННЯ РОБОТИ</w:t>
      </w:r>
      <w:bookmarkEnd w:id="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Мета роботи: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вивчити багаторівневу архітектуру IoT-екосистеми та архітектурні стилі програмних систем, обрати рівні реалізації власного програмного продукту, побудувати й описати архітектуру IoT-рішення.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Завдання роботи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[1]: побудувати архітектуру IoT-рішення, обравши рівні реалізації власного програмного продукту; описати архітектуру. Відповідно до завдання у роботі: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розглянуто еталонну архітектуру IoT-екосистеми та архітектурні стилі — розділ 2;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обрано рівні реалізації та архітектурний стиль програмного продукту з обґрунтуванням вимогами — розділ 3;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побудовано архітектуру IoT-рішення та описано кожен рівень, розміщення компонентів, потоки даних, безпеку і застосовані шаблони проектування — розділ 4;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сформульовано висновки — розділ «Висновки».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Тема програмного продукту: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«Розподілена IoT-система цілевказівки та координації дронів для перехоплення повітряних цілей»; програмний продукт — IoT-платформа «Щит-Лінк», вимоги до якої визначено в практичній роботі № 1 [2]. Звіт оформлено відповідно до ДСТУ 3008:2015 [3].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Примітка: РЦПДО «Щит-Північ» і IoT-платформа «Щит-Лінк» є навчальними умовними моделями; усі назви, процеси та показники наведено суто з навчально-ілюстративною метою.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2" w:name="_Toc00000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ТЕОРЕТИЧНІ ВІДОМОСТІ</w:t>
      </w:r>
      <w:bookmarkEnd w:id="2"/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3" w:name="_Toc00000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IoT-екосистема та рівні архітектури IoT-рішення</w:t>
      </w:r>
      <w:bookmarkEnd w:id="3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IoT-екосистема поєднує фізичні об’єкти з датчиками, засоби зв’язку, платформу обробки даних та інтерфейси користувачів. У публікаціях кафедри архітектуру IoT-рішення подають чотирма рівнями (рис. 2.1) [4].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Рівень сприйняття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(Perception Layer) збирає дані від датчиків, розміщених на об’єктах спостереження.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Мережевий рівень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(Network Layer) забезпечує швидку передачу даних далі — бездротовими мережами Wi-Fi, Bluetooth тощо.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Рівень проміжного програмного забезпечення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(Middleware Layer) використовує хмарне сховище для обробки та зберігання великих обсягів інформації й аналізу даних у реальному часі.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Рівень застосунків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(Application Layer) відображає оброблені дані та забезпечує взаємодію користувачів із ними на різних пристроях [4].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940000" cy="3309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fe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0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2.1 — Узагальнена архітектура IoT-екосистеми (за [4])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Тези кафедри [5] використовують ту саму структуру з українськими назвами рівнів: рівень датчиків (Sensing Layer), мережевий рівень із комунікацією через Wi-Fi, MQTT, LoRa, Bluetooth та IoT-шлюзами для обробки й передачі даних у хмару, рівень обробки даних і рівень застосунків. У статті про IoT-систему насосної станції [6] архітектуру також побудовано за схемою «пристрої — зв’язок — хмара — інтерфейс користувача»: дані датчиків проходять через бездротові мережі (Wi-Fi, Bluetooth, Zigbee, Z-Wave) та оптоволоконні медіаконвертери до бази даних, доступної оператору. Типовий склад рівнів узагальнено в табл. 2.1.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2.1 — Рівні архітектури IoT-рішення та їх типові компоненти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Призначення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Типові компоненти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Рівень датчиків (сприйняття)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Збір даних про стан об’єктів і середовища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Датчики, вимірювальні модулі, мікроконтролери, виконавчі пристрої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Мережевий рівень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Передавання даних від пристроїв до платформи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Точки доступу Wi-Fi, LoRa, стільниковий зв’язок, IoT-шлюзи, протокол MQTT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Рівень обробки даних (проміжного ПЗ)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Зберігання, обробка та аналіз даних у реальному часі</w:t>
            </w:r>
          </w:p>
        </w:tc>
        <w:tc>
          <w:tcPr>
            <w:tcW w:type="dxa" w:w="362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Хмарні або власні сервери, бази даних, брокери повідомлень, сервіси аналітики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Рівень застосунків</w:t>
            </w:r>
          </w:p>
        </w:tc>
        <w:tc>
          <w:tcPr>
            <w:tcW w:type="dxa" w:w="350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Відображення даних і керування системою</w:t>
            </w:r>
          </w:p>
        </w:tc>
        <w:tc>
          <w:tcPr>
            <w:tcW w:type="dxa" w:w="362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Веб-застосунки, мобільні застосунки, панелі моніторингу, інтерфейси інших систем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4" w:name="_Toc00000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Архітектурні стилі програмних систем</w:t>
      </w:r>
      <w:bookmarkEnd w:id="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Проектування програмних систем — процес створення структури та архітектури ПЗ для забезпечення надійності, ефективності та масштабованості; одним з його етапів є вибір архітектурного стилю [7]. Лекція [7] розглядає чотири підходи: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монолітна архітектура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усі функції (інтерфейс, логіка, доступ до бази даних) в одному додатку й одному процесі; простота розробки й розгортання на ранніх етапах, але складність масштабування та тісна зв’язність модулів;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мікросервісна архітектура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набір незалежних сервісів, кожен з яких відповідає за конкретну функціональність і взаємодіє через API (REST, gRPC, черги повідомлень); незалежне масштабування й оновлення, стійкість до збоїв окремих сервісів, але складніші координація, тестування й мережеві витрати;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сервіс-орієнтована архітектура (SOA)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сервіси бізнес-функцій зі стандартизованими інтерфейсами, придатні до повторного використання; на відміну від мікросервісів, використовує централізовану шину (ESB) і є більш крупнозернистою;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подієво-орієнтована архітектура (EDA)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компоненти взаємодіють через обмін подіями: видавці подій, підписники та брокер подій (наприклад, Apache Kafka, RabbitMQ); асинхронність, відокремленість і обробка в реальному часі. Лекція прямо наводить Інтернет речей як приклад застосування EDA: пристрої IoT постійно генерують події, на які система реагує в реальному часі [7].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5" w:name="_Toc000005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Шаблони проектування та принципи SOLID</w:t>
      </w:r>
      <w:bookmarkEnd w:id="5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Структурні шаблони проектування допомагають організувати класи й об’єкти у великі структури: «Адаптер» узгоджує несумісні інтерфейси; «Міст» розділяє абстракцію та реалізацію; «Компонувальник» будує ієрархії; «Декоратор» динамічно додає функціональність; «Фасад» надає спрощений інтерфейс до складної підсистеми; «Проксі» контролює доступ до об’єкта (кешування, перевірка прав) [7]. Серед поведінкових шаблонів лекція виділяє «Спостерігач» і «Стратегію», серед твірних — «Одинак» і «Фабрику», серед структурних архітектурних — MVC і багаторівневу архітектуру. Принципи SOLID (єдиної відповідальності, відкритості/закритості, підстановки Лісков, розділення інтерфейсів, інверсії залежностей) роблять систему легкою для підтримки, розширення та масштабування [7].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6" w:name="_Toc000006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 ВИБІР РІВНІВ РЕАЛІЗАЦІЇ ПРОГРАМНОГО ПРОДУКТУ</w:t>
      </w:r>
      <w:bookmarkEnd w:id="6"/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7" w:name="_Toc000007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Вихідні вимоги до архітектури</w:t>
      </w:r>
      <w:bookmarkEnd w:id="7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Вибір рівнів і стилю ґрунтується на специфікації вимог практичної роботи № 1 [2]: 22 функціональних і 16 нефункціональних вимог. Для архітектури визначальними є нефункціональні вимоги, наведені в табл. 2.2: саме вони відрізняють «Щит-Лінк» від типових IoT-систем моніторингу (теплиці, клініки, насосні станції [5; 6]), де допустимі затримки в секунди-хвилини й робота лише в хмарі.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2.2 — Нефункціональні вимоги, що визначають архітектуру (з ПР1)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105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Вимога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Критерій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Наслідок для архітектури</w:t>
            </w:r>
          </w:p>
        </w:tc>
      </w:tr>
      <w:tr>
        <w:trPr>
          <w:cantSplit w:val="true"/>
        </w:trPr>
        <w:tc>
          <w:tcPr>
            <w:tcW w:type="dxa" w:w="105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NFR-01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Затримка «сенсор — екран АРМ»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2 с (95-й процентиль)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Потокова обробка подій, доставка приростів через WebSocket</w:t>
            </w:r>
          </w:p>
        </w:tc>
      </w:tr>
      <w:tr>
        <w:trPr>
          <w:cantSplit w:val="true"/>
        </w:trPr>
        <w:tc>
          <w:tcPr>
            <w:tcW w:type="dxa" w:w="105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NFR-02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Доставка бойового завдання на планшет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1 с (95-й процентиль)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Окремий клас пріоритету для завдань у всіх каналах</w:t>
            </w:r>
          </w:p>
        </w:tc>
      </w:tr>
      <w:tr>
        <w:trPr>
          <w:cantSplit w:val="true"/>
        </w:trPr>
        <w:tc>
          <w:tcPr>
            <w:tcW w:type="dxa" w:w="105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NFR-03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Пікове навантаження прийому даних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≥ 20 000 повідомлень/с; ≥ 500 треків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Розподілена шина подій, масштабовані сервіси</w:t>
            </w:r>
          </w:p>
        </w:tc>
      </w:tr>
      <w:tr>
        <w:trPr>
          <w:cantSplit w:val="true"/>
        </w:trPr>
        <w:tc>
          <w:tcPr>
            <w:tcW w:type="dxa" w:w="105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NFR-05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Доступність ядра платформи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≥ 99,95 % на місяць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Два центри обробки даних, реплікація</w:t>
            </w:r>
          </w:p>
        </w:tc>
      </w:tr>
      <w:tr>
        <w:trPr>
          <w:cantSplit w:val="true"/>
        </w:trPr>
        <w:tc>
          <w:tcPr>
            <w:tcW w:type="dxa" w:w="105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NFR-06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Автономність шлюзу; відновлення ядра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≥ 4 год офлайн; RPO ≤ 5 с, RTO ≤ 60 с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Обчислення на периферійному шлюзі, буферизація</w:t>
            </w:r>
          </w:p>
        </w:tc>
      </w:tr>
      <w:tr>
        <w:trPr>
          <w:cantSplit w:val="true"/>
        </w:trPr>
        <w:tc>
          <w:tcPr>
            <w:tcW w:type="dxa" w:w="105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NFR-07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Взаємна автентифікація пристроїв і сервісів, шифрування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mTLS, TLS 1.3, AES-256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Сертифікат X.509 для кожного пристрою, VPN</w:t>
            </w:r>
          </w:p>
        </w:tc>
      </w:tr>
      <w:tr>
        <w:trPr>
          <w:cantSplit w:val="true"/>
        </w:trPr>
        <w:tc>
          <w:tcPr>
            <w:tcW w:type="dxa" w:w="105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NFR-15</w:t>
            </w:r>
          </w:p>
        </w:tc>
        <w:tc>
          <w:tcPr>
            <w:tcW w:type="dxa" w:w="257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Відповідність вимогам захисту інформації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Атестат відповідності КСЗІ</w:t>
            </w:r>
          </w:p>
        </w:tc>
        <w:tc>
          <w:tcPr>
            <w:tcW w:type="dxa" w:w="339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Власні сервери замість публічної хмари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8" w:name="_Toc000008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Вибір рівнів реалізації</w:t>
      </w:r>
      <w:bookmarkEnd w:id="8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 основу взято чотирирівневу модель IoT-рішення (підрозділ 2.1). Для кожного рівня визначено, чи реалізується він у продукті, у якій формі та чим це зумовлено (табл. 2.3). Головна відмінність від еталонної моделі [4] — частина обробки даних перенесена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периферійні шлюзи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мережевого рівня, а рівень обробки даних розміщено не в публічній хмарі, а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двох власних центрах обробки даних (ЦОД)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через вимоги автономності (NFR-06) та захисту інформації (NFR-15).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2.3 — Обрані рівні реалізації IoT-платформи «Щит-Лінк»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</w:t>
            </w:r>
          </w:p>
        </w:tc>
        <w:tc>
          <w:tcPr>
            <w:tcW w:type="dxa" w:w="385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Реалізація в продукті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Обґрунтування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Рівень датчиків (сприйняття)</w:t>
            </w:r>
          </w:p>
        </w:tc>
        <w:tc>
          <w:tcPr>
            <w:tcW w:type="dxa" w:w="385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Власні пристрої не розробляються; інтегруються акустичні вузли, РЛС, оптико-електронні пости, наземні станції управління (НСУ) перехоплювачів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Обладнання постачається сторонніми виробниками; продукт є програмною платформою (FR-01, FR-02)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Мережевий рівень</w:t>
            </w:r>
          </w:p>
        </w:tc>
        <w:tc>
          <w:tcPr>
            <w:tcW w:type="dxa" w:w="385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Периферійний шлюз на кожній позиції (власне ПЗ), багатоканальний зв’язок (mesh-радіо, LTE, супутник), VPN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Різнорідні протоколи пристроїв, подавлення зв’язку, автономність ≥ 4 год (FR-03, NFR-06)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Рівень обробки даних</w:t>
            </w:r>
          </w:p>
        </w:tc>
        <w:tc>
          <w:tcPr>
            <w:tcW w:type="dxa" w:w="385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IoT-ядро у двох ЦОД: шина подій, мікросервіси, PostgreSQL + PostGIS, TimescaleDB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Обробка в реальному часі, доступність 99,95 %, захист інформації (NFR-01, NFR-05, NFR-15)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Рівень застосунків</w:t>
            </w:r>
          </w:p>
        </w:tc>
        <w:tc>
          <w:tcPr>
            <w:tcW w:type="dxa" w:w="385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Веб-АРМ командного пункту і служб, мобільний застосунок планшета, інтеграційні інтерфейси</w:t>
            </w:r>
          </w:p>
        </w:tc>
        <w:tc>
          <w:tcPr>
            <w:tcW w:type="dxa" w:w="339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Три форми продукту з ПР1: веб-система, мобільний застосунок, окремий додаток шлюзу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Отже, у продукті реалізуються всі чотири рівні, але з різною глибиною: рівень датчиків — лише як інтеграція (адаптери протоколів), мережевий рівень і рівень обробки даних — як власне програмне забезпечення, рівень застосунків — як два клієнтські застосунки та інтеграційні інтерфейси.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9" w:name="_Toc000009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Вибір архітектурного стилю</w:t>
      </w:r>
      <w:bookmarkEnd w:id="9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Стилі лекції [7] порівняно за вимогами табл. 2.2 (табл. 2.4).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2.4 — Порівняння архітектурних стилів для IoT-ядра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Стиль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Відповідність вимогам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Обмеження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Рішення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Монолітна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Простота розробки й розгортання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Неможливо масштабувати лише сервіси реального часу; збій модуля зупиняє все ядро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Відхилено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Мікросервісна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Незалежне масштабування злиття треків і телеметрії; ізоляція збоїв; оновлення без зупинки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Складність координації та тестування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Обрано для сервісів ядра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SOA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Стандартизовані інтерфейси для зовнішніх систем</w:t>
            </w:r>
          </w:p>
        </w:tc>
        <w:tc>
          <w:tcPr>
            <w:tcW w:type="dxa" w:w="280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Централізована шина ESB — вузьке місце для 20 000 повідомлень/с</w:t>
            </w:r>
          </w:p>
        </w:tc>
        <w:tc>
          <w:tcPr>
            <w:tcW w:type="dxa" w:w="187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Ідеї взято для інтеграції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EDA</w:t>
            </w:r>
          </w:p>
        </w:tc>
        <w:tc>
          <w:tcPr>
            <w:tcW w:type="dxa" w:w="292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Пристрої генерують потоки подій; асинхронна обробка в реальному часі</w:t>
            </w:r>
          </w:p>
        </w:tc>
        <w:tc>
          <w:tcPr>
            <w:tcW w:type="dxa" w:w="280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Складність відлагодження, порядок подій</w:t>
            </w:r>
          </w:p>
        </w:tc>
        <w:tc>
          <w:tcPr>
            <w:tcW w:type="dxa" w:w="187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Обрано як основу взаємодії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гібридний стиль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подієво-орієнтована архітектура (EDA) як основа взаємодії — виявлення, треки, стани місій і телеметрія передаються як події через шину подій; сервіси ядра реалізовано як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мікросервіси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кожен з яких є видавцем і/або підписником подій; взаємодія із зовнішніми системами ведеться через стандартизовані інтерфейси (принцип SOA) інтеграційного адаптера. Недоліки EDA компенсуються ключами впорядкування подій за треком і місією та наскрізними ідентифікаторами для трасування подій під час відлагодження.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0" w:name="_Toc000010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 АРХІТЕКТУРА IOT-ЕКОСИСТЕМИ «ЩИТ-ЛІНК»</w:t>
      </w:r>
      <w:bookmarkEnd w:id="10"/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1" w:name="_Toc00001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Загальна схема архітектури</w:t>
      </w:r>
      <w:bookmarkEnd w:id="1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Архітектуру IoT-рішення побудовано за чотирирівневою моделлю у формі, прийнятій у публікаціях кафедри [4; 6]: колонки «пристрої та об’єкти — зв’язок — обробка даних — інтерфейси застосувань» відповідають рівням датчиків, мережевому, обробки даних і застосунків (рис. 2.2).</w:t>
      </w:r>
    </w:p>
    <w:p>
      <w:pPr>
        <w:sectPr>
          <w:footerReference w:type="default" r:id="rId8"/>
          <w:headerReference w:type="default" r:id="rId9"/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50999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5099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2.2 — Архітектура IoT-екосистеми «Щит-Лінк»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Дані рухаються зліва направо: пристрої сектора передають виявлення й телеметрію на периферійний шлюз своєї позиції; шлюз перевіряє й нормалізує дані та через захищені канали передає їх до шини подій ядра; сервіси реального часу формують повітряну обстановку й керують місіями, бізнес-сервіси ведуть облік і звітність, сховища зберігають оперативні дані й часові ряди; API-шлюз надає дані застосункам і зовнішнім системам. Команди (призначення, санкції, завдання) рухаються у зворотному напрямку — від застосунків через ядро та шлюз до НСУ розрахунку, тому зв’язки між рівнями двобічні.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2" w:name="_Toc00001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Рівень датчиків (сприйняття)</w:t>
      </w:r>
      <w:bookmarkEnd w:id="12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Рівень датчиків утворюють пристрої, що спостерігають повітряний простір, і пристрої розрахунків (табл. 2.5). Платформа не змінює їх вбудоване програмне забезпечення: взаємодія ведеться лише через стандартні протоколи, а кожен пристрій має власний сертифікат для автентифікації на шлюзі.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2.5 — Пристрої рівня датчиків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Пристрій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Дані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Частота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Протокол</w:t>
            </w:r>
          </w:p>
        </w:tc>
        <w:tc>
          <w:tcPr>
            <w:tcW w:type="dxa" w:w="81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К-сть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Акустичний сенсорний вузол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Пеленг, клас сигнатури, достовірність, стан вузла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1–5 повідомлень/с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MQTT 5 (TLS)</w:t>
            </w:r>
          </w:p>
        </w:tc>
        <w:tc>
          <w:tcPr>
            <w:tcW w:type="dxa" w:w="81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Малогабаритна РЛС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Відмітки й треки цілей: координати, висота, швидкість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Гц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ASTERIX CAT048/062</w:t>
            </w:r>
          </w:p>
        </w:tc>
        <w:tc>
          <w:tcPr>
            <w:tcW w:type="dxa" w:w="81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Оптико-електронний пост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Відеопотік, підтвердження виявлень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 запитом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RTSP, MQTT</w:t>
            </w:r>
          </w:p>
        </w:tc>
        <w:tc>
          <w:tcPr>
            <w:tcW w:type="dxa" w:w="81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НСУ розрахунку з перехоплювачем</w:t>
            </w:r>
          </w:p>
        </w:tc>
        <w:tc>
          <w:tcPr>
            <w:tcW w:type="dxa" w:w="292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Телеметрія: позиція, заряд АКБ, якість каналу, режим польоту</w:t>
            </w:r>
          </w:p>
        </w:tc>
        <w:tc>
          <w:tcPr>
            <w:tcW w:type="dxa" w:w="152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≥ 5 Гц у польоті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MAVLink 2 з підписом</w:t>
            </w:r>
          </w:p>
        </w:tc>
        <w:tc>
          <w:tcPr>
            <w:tcW w:type="dxa" w:w="81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3" w:name="_Toc00001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Мережевий рівень</w:t>
      </w:r>
      <w:bookmarkEnd w:id="13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Мережевий рівень складається з периферійних шлюзів на дев’яти позиціях і каналів зв’язку між шлюзами та ядром (табл. 2.6). Шлюз (рис. 2.3) виконує функції, які в еталонній моделі належать IoT-шлюзу [5], і додатково — обчислення на периферії: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940000" cy="60852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dge_gatew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8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2.3 — Структура периферійного шлюзу позиції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адаптери протоколів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перетворюють MQTT, ASTERIX, RTSP і MAVLink на єдину канонічну модель даних (шаблон «Адаптер»);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перевірка даних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автентифікація джерела за сертифікатом, контроль схеми й часової мітки, переведення в систему координат WGS-84 і час UTC;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локальний брокер MQTT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розподіляє дані між внутрішніми компонентами шлюзу;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локальне злиття треків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деградованому режимі дозволяє позиції працювати при втраті зв’язку з ядром;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буфер із відкладеною передачею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зберігає дані до 4 годин і передає їх після відновлення зв’язку з первинними мітками часу;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міст до ядра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передає дані за класами пріоритету: завдання &gt; треки &gt; телеметрія &gt; відео.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2.6 — Канали та протоколи мережевого рівня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Зв’язок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Протокол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Вимога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Пристрої → шлюз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MQTT 5, ASTERIX, MAVLink 2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Локальна мережа позиції, радіоканал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Сертифікат кожного пристрою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Шлюз ↔ планшет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MQTT / WebSocket через TLS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Wi-Fi позиції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Робота без ядра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Шлюз ↔ ядро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gRPC або міст MQTT через VPN із mTLS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Mesh-радіо, LTE, супутник (резервування)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Класи пріоритету трафіку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Ядро ↔ застосунки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HTTPS (REST), WebSocket</w:t>
            </w:r>
          </w:p>
        </w:tc>
        <w:tc>
          <w:tcPr>
            <w:tcW w:type="dxa" w:w="245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Захищена мережа центру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Прирости даних</w:t>
            </w:r>
          </w:p>
        </w:tc>
      </w:tr>
      <w:tr>
        <w:trPr>
          <w:cantSplit w:val="true"/>
        </w:trPr>
        <w:tc>
          <w:tcPr>
            <w:tcW w:type="dxa" w:w="222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Ядро ↔ зовнішні системи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REST API, Cursor-on-Target</w:t>
            </w:r>
          </w:p>
        </w:tc>
        <w:tc>
          <w:tcPr>
            <w:tcW w:type="dxa" w:w="245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Захищені канали обміну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 ≤ 15 хв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4" w:name="_Toc00001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Рівень обробки даних</w:t>
      </w:r>
      <w:bookmarkEnd w:id="1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Рівень обробки даних — IoT-ядро, побудоване за обраним гібридним стилем (рис. 2.4). Точками входу є шлюз прийому даних пристроїв, інтеграційний адаптер і API-шлюз; усі вони взаємодіють із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шиною подій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яка виконує роль брокера подій EDA [7]. Дев’ять мікросервісів є видавцями й підписниками подій; сервіси реального часу (на схемі виділено сірим) масштабуються незалежно від бізнес-сервісів. Кожен сервіс має власні дані: оперативні та просторові — у PostgreSQL з розширенням PostGIS, часові ряди телеметрії та показників — у TimescaleDB.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8132400" cy="52203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2400" cy="5220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2.4 — Компоненти рівня обробки даних (IoT-ядра)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Відповідальність кожного мікросервісу, спосіб його взаємодії та функціональні вимоги ПР1, які він реалізує, наведено в табл. 2.7.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2.7 — Мікросервіси IoT-ядра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Сервіс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Відповідальність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Взаємодія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FR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Злиття треків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Асоціація виявлень із треками, тріангуляція пеленгів, життєвий цикл треку, прогноз траєкторії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Підписник «виявлення», видавець «трек оновлено»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Класифікація, оцінка загрози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Підказка типу цілі, звіряння з планами польотів, оцінка загрози та пріоритет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Підписник «трек оновлено», видавець «трек класифіковано»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FR-05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і місії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Перелік кандидатів, стани місії, правило двох осіб, ескалація без підтвердження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 через API; видавець «місія змінилася»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FR-08 … FR-12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Геосервіс (деконфлікція)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Сектори, зони заборони ураження, коридори дружньої авіації, просторові перевірки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Синхронні запити від сервісу призначення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FR-07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Сповіщення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Сповіщення за подіями, рівні важливості, ескалація непідтверджених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Підписник багатьох потоків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FR-16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Облік ресурсів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Готовність розрахунків, перехоплювачів, АКБ; обслуговування; запаси й заявки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 через API; видавець «ресурс змінився»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FR-14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FR-15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і аудит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Користувачі, ролі, двофакторна автентифікація, журнал аудиту з ланцюжком хешів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Запити від API-шлюзу; підписник усіх команд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FR-19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FR-20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Телеметрія</w:t>
            </w:r>
          </w:p>
        </w:tc>
        <w:tc>
          <w:tcPr>
            <w:tcW w:type="dxa" w:w="339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Прийом і архівування телеметрії перехоплювачів, відтворення місій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Підписник «телеметрія»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FR-12</w:t>
            </w:r>
          </w:p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FR-17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Звіти й аналітика</w:t>
            </w:r>
          </w:p>
        </w:tc>
        <w:tc>
          <w:tcPr>
            <w:tcW w:type="dxa" w:w="339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Звіти про перехоплення, показники KPI, експорт PDF / XLSX</w:t>
            </w:r>
          </w:p>
        </w:tc>
        <w:tc>
          <w:tcPr>
            <w:tcW w:type="dxa" w:w="268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Підписник «місія закрита»; запити API</w:t>
            </w:r>
          </w:p>
        </w:tc>
        <w:tc>
          <w:tcPr>
            <w:tcW w:type="dxa" w:w="152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FR-13</w:t>
            </w:r>
          </w:p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FR-17</w:t>
            </w:r>
          </w:p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FR-21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Шина подій зберігає потоки подій у вигляді журналу, тому новий сервіс може під’єднатися до потоку без змін у видавцях (принцип відкритості/закритості), а після збою сервіс продовжує обробку з місця зупинки. Для швидкого відображення обстановки API-шлюз тримає в пам’яті актуальний стан треків і надсилає застосункам лише прирости.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5" w:name="_Toc000015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Рівень застосунків</w:t>
      </w:r>
      <w:bookmarkEnd w:id="15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Рівень застосунків реалізує інтерфейси для всіх акторів ПР1 [2] (табл. 2.8). Застосунки не звертаються до сервісів напряму: усі запити проходять через API-шлюз, який перевіряє права доступу.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2.8 — Застосунки та інтерфейси рівня застосунків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Застосунок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Користувачі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Технологія</w:t>
            </w:r>
          </w:p>
        </w:tc>
        <w:tc>
          <w:tcPr>
            <w:tcW w:type="dxa" w:w="30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Основні функції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АРМ командного пункту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Оперативний черговий, офіцер бойового управління, аналітик обстановки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Веб-застосунок (TypeScript), карта з умовними знаками APP-6</w:t>
            </w:r>
          </w:p>
        </w:tc>
        <w:tc>
          <w:tcPr>
            <w:tcW w:type="dxa" w:w="30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Повітряна обстановка, класифікація, призначення, санкціонування, супровід місій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Мобільний застосунок планшета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Командир розрахунку, оператор перехоплювача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Android 12+</w:t>
            </w:r>
          </w:p>
        </w:tc>
        <w:tc>
          <w:tcPr>
            <w:tcW w:type="dxa" w:w="30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Прийняття завдання, цілевказання, доповідь про результат; робота через шлюз без ядра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АРМ служб забезпечення</w:t>
            </w:r>
          </w:p>
        </w:tc>
        <w:tc>
          <w:tcPr>
            <w:tcW w:type="dxa" w:w="222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Технік, логіст, аналітик ефективності, адміністратор, офіцер кібербезпеки</w:t>
            </w:r>
          </w:p>
        </w:tc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Веб-застосунок</w:t>
            </w:r>
          </w:p>
        </w:tc>
        <w:tc>
          <w:tcPr>
            <w:tcW w:type="dxa" w:w="304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Облік ресурсів, звіти й KPI, користувачі й ролі, журнал аудиту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Інтеграційні інтерфейси</w:t>
            </w:r>
          </w:p>
        </w:tc>
        <w:tc>
          <w:tcPr>
            <w:tcW w:type="dxa" w:w="222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Національна система, Повітряні сили ЗСУ, система тривоги, метеосервіс</w:t>
            </w:r>
          </w:p>
        </w:tc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REST API, Cursor-on-Target</w:t>
            </w:r>
          </w:p>
        </w:tc>
        <w:tc>
          <w:tcPr>
            <w:tcW w:type="dxa" w:w="304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Обмін обстановкою, плани польотів, сповіщення, метеодані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6" w:name="_Toc000016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Фізичне розміщення компонентів</w:t>
      </w:r>
      <w:bookmarkEnd w:id="16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Рівні архітектури розміщено на фізичних вузлах, наведених у табл. 2.9. Сервіси ядра й шлюзу постачаються як контейнери, що забезпечує однакову конфігурацію в усіх середовищах, як рекомендує модель DevOps [8].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2.9 — Фізичне розміщення компонентів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Вузол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Розташування</w:t>
            </w:r>
          </w:p>
        </w:tc>
        <w:tc>
          <w:tcPr>
            <w:tcW w:type="dxa" w:w="420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Програмні компоненти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К-сть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Периферійний шлюз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Позиція розрахунку</w:t>
            </w:r>
          </w:p>
        </w:tc>
        <w:tc>
          <w:tcPr>
            <w:tcW w:type="dxa" w:w="420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Адаптери, брокер MQTT, локальне злиття, буфер, міст до ядра (контейнери, Linux)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 + 2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Кластер ядра (основний)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ЦОД 1</w:t>
            </w:r>
          </w:p>
        </w:tc>
        <w:tc>
          <w:tcPr>
            <w:tcW w:type="dxa" w:w="420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Шина подій, мікросервіси, API-шлюз, інтеграційний адаптер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Кластер ядра (резервний)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ЦОД 2</w:t>
            </w:r>
          </w:p>
        </w:tc>
        <w:tc>
          <w:tcPr>
            <w:tcW w:type="dxa" w:w="420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Ті самі сервіси в режимі гарячого резерву; репліка баз даних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АРМ</w:t>
            </w:r>
          </w:p>
        </w:tc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Командний пункт, служби</w:t>
            </w:r>
          </w:p>
        </w:tc>
        <w:tc>
          <w:tcPr>
            <w:tcW w:type="dxa" w:w="420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Браузер із веб-застосунком</w:t>
            </w:r>
          </w:p>
        </w:tc>
        <w:tc>
          <w:tcPr>
            <w:tcW w:type="dxa" w:w="93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 + 6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Планшет</w:t>
            </w:r>
          </w:p>
        </w:tc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Розрахунок</w:t>
            </w:r>
          </w:p>
        </w:tc>
        <w:tc>
          <w:tcPr>
            <w:tcW w:type="dxa" w:w="420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Мобільний застосунок</w:t>
            </w:r>
          </w:p>
        </w:tc>
        <w:tc>
          <w:tcPr>
            <w:tcW w:type="dxa" w:w="93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 + 4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7" w:name="_Toc000017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Наскрізний потік даних і бюджет затримок</w:t>
      </w:r>
      <w:bookmarkEnd w:id="17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Взаємодію рівнів у ключовому сценарії «виявлення — обстановка — завдання розрахунку» показано на діаграмі послідовності (рис. 2.5). Від виявлення до появи приросту обстановки на АРМ має минути не більше 2 с (NFR-01), від санкції до отримання завдання планшетом — не більше 1 с (NFR-02). Розподіл цих бюджетів між рівнями наведено в табл. 2.10.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7498799" cy="52189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98799" cy="5218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2.5 — Взаємодія рівнів у сценарії «виявлення — завдання розрахунку»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2.10 — Бюджет затримок за рівнями архітектури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Етап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Бюджет, мс</w:t>
            </w:r>
          </w:p>
        </w:tc>
      </w:tr>
      <w:tr>
        <w:trPr>
          <w:cantSplit w:val="true"/>
        </w:trPr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виявлення від сенсора до шлюзу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Датчиків → мережевий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300</w:t>
            </w:r>
          </w:p>
        </w:tc>
      </w:tr>
      <w:tr>
        <w:trPr>
          <w:cantSplit w:val="true"/>
        </w:trPr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Перевірка, нормалізація, публікація на шлюзі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Мережевий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100</w:t>
            </w:r>
          </w:p>
        </w:tc>
      </w:tr>
      <w:tr>
        <w:trPr>
          <w:cantSplit w:val="true"/>
        </w:trPr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шлюз → шина подій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Мережевий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400</w:t>
            </w:r>
          </w:p>
        </w:tc>
      </w:tr>
      <w:tr>
        <w:trPr>
          <w:cantSplit w:val="true"/>
        </w:trPr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Злиття треків і публікація оновлення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500</w:t>
            </w:r>
          </w:p>
        </w:tc>
      </w:tr>
      <w:tr>
        <w:trPr>
          <w:cantSplit w:val="true"/>
        </w:trPr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Доставка приросту на АРМ і відображення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 → застосунків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700</w:t>
            </w:r>
          </w:p>
        </w:tc>
      </w:tr>
      <w:tr>
        <w:trPr>
          <w:cantSplit w:val="true"/>
        </w:trPr>
        <w:tc>
          <w:tcPr>
            <w:tcW w:type="dxa" w:w="4911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Разом «сенсор — екран» (NFR-01)</w:t>
            </w:r>
          </w:p>
        </w:tc>
        <w:tc>
          <w:tcPr>
            <w:tcW w:type="dxa" w:w="268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2000</w:t>
            </w:r>
          </w:p>
        </w:tc>
      </w:tr>
      <w:tr>
        <w:trPr>
          <w:cantSplit w:val="true"/>
        </w:trPr>
        <w:tc>
          <w:tcPr>
            <w:tcW w:type="dxa" w:w="4911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Санкція → подія → шлюз → планшет (NFR-02)</w:t>
            </w:r>
          </w:p>
        </w:tc>
        <w:tc>
          <w:tcPr>
            <w:tcW w:type="dxa" w:w="268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Усі рівні</w:t>
            </w:r>
          </w:p>
        </w:tc>
        <w:tc>
          <w:tcPr>
            <w:tcW w:type="dxa" w:w="175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≤ 1000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8" w:name="_Toc000018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4.8. Безпека та надійність</w:t>
      </w:r>
      <w:bookmarkEnd w:id="18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Захист реалізовано на кожному рівні архітектури (табл. 2.11), що відповідає нефункціональним вимогам NFR-07…NFR-09 і NFR-15 [2].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2.11 — Заходи безпеки за рівнями архітектури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Загрози</w:t>
            </w:r>
          </w:p>
        </w:tc>
        <w:tc>
          <w:tcPr>
            <w:tcW w:type="dxa" w:w="444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Заходи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Датчиків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Підміна пристрою, хибні дані</w:t>
            </w:r>
          </w:p>
        </w:tc>
        <w:tc>
          <w:tcPr>
            <w:tcW w:type="dxa" w:w="444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Сертифікат X.509 кожного пристрою, підпис MAVLink 2, карантин вузла при різкій зміні координат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Мережевий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Перехоплення й підміна трафіку, подавлення зв’язку</w:t>
            </w:r>
          </w:p>
        </w:tc>
        <w:tc>
          <w:tcPr>
            <w:tcW w:type="dxa" w:w="444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VPN із взаємною автентифікацією (mTLS), TLS 1.3, резервні канали, обмеження частоти повідомлень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Несанкціонований доступ, зміна даних</w:t>
            </w:r>
          </w:p>
        </w:tc>
        <w:tc>
          <w:tcPr>
            <w:tcW w:type="dxa" w:w="444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Шифрування AES-256 у сховищах, права на рівні сервісів, журнал аудиту з ланцюжком хешів</w:t>
            </w:r>
          </w:p>
        </w:tc>
      </w:tr>
      <w:tr>
        <w:trPr>
          <w:cantSplit w:val="true"/>
        </w:trPr>
        <w:tc>
          <w:tcPr>
            <w:tcW w:type="dxa" w:w="198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Застосунків</w:t>
            </w:r>
          </w:p>
        </w:tc>
        <w:tc>
          <w:tcPr>
            <w:tcW w:type="dxa" w:w="292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Викрадення облікових даних, перевищення повноважень</w:t>
            </w:r>
          </w:p>
        </w:tc>
        <w:tc>
          <w:tcPr>
            <w:tcW w:type="dxa" w:w="444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Двофакторна автентифікація, рольовий доступ з обмеженням за сектором, блокування сеансу через 15 хв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Надійність забезпечують три механізми: резервування ядра у двох ЦОД з реплікацією потоків подій (відновлення ≤ 60 с, втрата даних ≤ 5 с — NFR-06); автономна робота периферійних шлюзів щонайменше 4 год із локальним злиттям треків і подальшим узгодженням станів, у якому головним джерелом для станів місій є ядро; пріоритизація трафіку, що за перевантаження каналів першою обмежує передачу відео.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19" w:name="_Toc000019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4.9. Шаблони проектування та принципи SOLID в архітектурі</w:t>
      </w:r>
      <w:bookmarkEnd w:id="19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Шаблони проектування та принципи SOLID лекції [7] застосовано в архітектурі, як показано в табл. 2.12.</w:t>
      </w:r>
    </w:p>
    <w:p>
      <w:pPr>
        <w:keepNext/>
        <w:pageBreakBefore w:val="0"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2.12 — Застосування шаблонів проектування та принципів SOLID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Шаблон / принцип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 застосовано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Ефект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Адаптер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Адаптери протоколів шлюзу, інтеграційний адаптер ядра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Нові типи пристроїв і систем без зміни ядра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Фасад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API-шлюз для всіх застосунків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Простий інтерфейс до дев’яти сервісів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Проксі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Кеш стану обстановки в API-шлюзі; перевірка прав перед викликом сервісу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Швидкодія та контроль доступу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Спостерігач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Підписка сервісів і застосунків на потоки подій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Відокремленість видавців і підписників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Стратегія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Алгоритми ранжування розрахунків-кандидатів і класифікації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Заміна алгоритму без зміни сервісу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Фабрика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Створення адаптера за типом пристрою під час реєстрації вузла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Єдина точка створення адаптерів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MVC, багаторівнева архітектура</w:t>
            </w:r>
          </w:p>
        </w:tc>
        <w:tc>
          <w:tcPr>
            <w:tcW w:type="dxa" w:w="3976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 і мобільний застосунки; рівні «інтерфейс — логіка — дані» в сервісах</w:t>
            </w:r>
          </w:p>
        </w:tc>
        <w:tc>
          <w:tcPr>
            <w:tcW w:type="dxa" w:w="327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Окреме тестування рівнів</w:t>
            </w:r>
          </w:p>
        </w:tc>
      </w:tr>
      <w:tr>
        <w:trPr>
          <w:cantSplit w:val="true"/>
        </w:trPr>
        <w:tc>
          <w:tcPr>
            <w:tcW w:type="dxa" w:w="2105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SOLID: S, O, D</w:t>
            </w:r>
          </w:p>
        </w:tc>
        <w:tc>
          <w:tcPr>
            <w:tcW w:type="dxa" w:w="3976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сервіс — одна відповідальність; нові підписники без змін видавців; сервіси залежать від інтерфейсів сховищ</w:t>
            </w:r>
          </w:p>
        </w:tc>
        <w:tc>
          <w:tcPr>
            <w:tcW w:type="dxa" w:w="327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Легкість супроводу та заміни технологій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20" w:name="_Toc000020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4.10. Відповідність архітектури вимогам</w:t>
      </w:r>
      <w:bookmarkEnd w:id="20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Трасування нефункціональних вимог ПР1 до архітектурних рішень наведено в табл. 2.13; кожна вимога, що визначає архітектуру (табл. 2.2), має щонайменше одне рішення.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2.13 — Трасування вимог до архітектурних рішень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Вимога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Архітектурне рішення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NFR-01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Подієва обробка, прирости через WebSocket, кеш обстановки в API-шлюзі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даних, застосунків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NFR-02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Найвищий клас пріоритету для завдань у мосту шлюзу та шині подій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Мережевий, обробки даних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NFR-03, NFR-04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Розподілена шина подій, незалежне масштабування мікросервісів реального часу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NFR-05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Два ЦОД, гарячий резерв, реплікація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NFR-06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Буфер і локальне злиття треків на периферійному шлюзі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Мережевий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NFR-07, NFR-08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Сертифікати пристроїв, mTLS, двофакторна автентифікація, рольовий доступ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Усі рівні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NFR-09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Сервіс доступу й аудиту — підписник усіх команд, журнал із ланцюжком хешів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NFR-12</w:t>
            </w:r>
          </w:p>
        </w:tc>
        <w:tc>
          <w:tcPr>
            <w:tcW w:type="dxa" w:w="561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Мікросервіси, контейнери, конвеєр CI/CD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</w:t>
            </w:r>
          </w:p>
        </w:tc>
      </w:tr>
      <w:tr>
        <w:trPr>
          <w:cantSplit w:val="true"/>
        </w:trPr>
        <w:tc>
          <w:tcPr>
            <w:tcW w:type="dxa" w:w="140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NFR-15</w:t>
            </w:r>
          </w:p>
        </w:tc>
        <w:tc>
          <w:tcPr>
            <w:tcW w:type="dxa" w:w="561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Власні ЦОД замість публічної хмари, КСЗІ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Обробки даних</w:t>
            </w:r>
          </w:p>
        </w:tc>
      </w:tr>
    </w:tbl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21" w:name="_Toc00002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ВИСНОВКИ</w:t>
      </w:r>
      <w:bookmarkEnd w:id="2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практичній роботі побудовано та описано архітектуру IoT-рішення для програмного продукту IoT-платформа «Щит-Лінк» умовного РЦПДО «Щит-Північ».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За основу взято чотирирівневу модель IoT-рішення з публікацій кафедри: рівень датчиків (сприйняття), мережевий рівень, рівень обробки даних і рівень застосунків. Усі чотири рівні реалізовано в продукті: рівень датчиків — як інтеграція 154 пристроїв чотирьох типів через стандартні протоколи, мережевий рівень — як власне ПЗ дев’яти периферійних шлюзів і багатоканальний захищений зв’язок, рівень обробки даних — як IoT-ядро у двох власних ЦОД, рівень застосунків — як веб-АРМ, мобільний застосунок і інтеграційні інтерфейси.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Порівняно чотири архітектурні стилі лекції; обрано гібридний стиль: подієво-орієнтована архітектура з шиною подій як основа взаємодії та 9 мікросервісів ядра, а також стандартизовані інтерфейси інтеграції за принципом SOA. Монолітну архітектуру відхилено через неможливість незалежно масштабувати сервіси реального часу.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Відмінності від еталонної моделі обґрунтовано вимогами ПР1: обчислення на периферійних шлюзах забезпечують автономність позиції щонайменше 4 год, а власні ЦОД замість публічної хмари — вимоги захисту інформації.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Описано кожен рівень, фізичне розміщення компонентів, наскрізний потік даних з бюджетом затримок (≤ 2 с до екрана, ≤ 1 с до планшета), заходи безпеки на кожному рівні, застосування шести шаблонів проектування й принципів SOLID; усі нефункціональні вимоги, що визначають архітектуру, трасовано до архітектурних рішень.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Побудована архітектура є основою для опису існуючих програмних та апаратних рішень (практична робота № 3) і детального проектування системи засобами BPMN, UML та IDEF (практична робота № 4).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22" w:name="_Toc00002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ВИКОРИСТАНИХ ДЖЕРЕЛ</w:t>
      </w:r>
      <w:bookmarkEnd w:id="22"/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Практична робота 2. Архітектура IoT екосистеми : завдання з дисципліни «Технології створення програмних продуктів». Київ : КНУ імені Тараса Шевченка, 2026.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Кравченко П. Збір та документування вимог для програмного продукту : звіт з практичної роботи № 1 з дисципліни «Технології створення програмних продуктів». Київ : КНУ імені Тараса Шевченка, 2026. 42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ДСТУ 3008:2015. Інформація та документація. Звіти у сфері науки і техніки. Структура та правила оформлювання. Київ : ДП «УкрНДНЦ», 2016. 26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Zinko I., Kravchenko O., Syvoglaz D. Designing an Internet of Things solution for monitoring vital signs. Technology Audit and Production Reserves. 2024. No. 2 (2 (76)). DOI: 10.15587/2706-5448.2024.300745.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Васюта А., Кравченко О. IoT система керування ветеринарною клінікою. Інформаційні системи та технології: результати і перспективи : матеріали 2-ї Міжнар. наук.-практ. конф. (IST 2025), м. Київ, 5 берез. 2025 р. Київ : ФІТ КНУТШ, 2025. С. 36–38.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Легойда Ю. В., Кравченко О. В. Автоматизована IoT система управління насосної станції водопостачання селища Теплик. Таврійський науковий вісник. Серія: Технічні науки. 2024. № 2. С. 73–87. DOI: 10.32782/tnv-tech.2024.2.7.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Кравченко О. Проектування програмних систем : лекція 5 з дисципліни «Технології створення програмних продуктів». Київ : КНУ імені Тараса Шевченка, 2026. 43 слайди.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Життєвий цикл та моделі життєвого циклу програмного продукту : лекція 1 з дисципліни «Технології створення програмних продуктів» / викл. О. В. Кравченко. Київ : КНУ імені Тараса Шевченка, 2026. 40 слайдів.</w:t>
      </w:r>
    </w:p>
    <w:sectPr>
      <w:footnotePr/>
      <w:endnotePr/>
      <w:pgSz w:h="16838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widowControl/>
      <w:spacing w:line="240" w:lineRule="auto" w:before="0" w:after="0"/>
      <w:ind w:firstLine="0" w:left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 Кравченко</dc:creator>
  <cp:revision>3</cp:revision>
  <dcterms:modified xsi:type="dcterms:W3CDTF">2026-10-04T07:49:39Z</dcterms:modified>
  <dc:title>Практична робота №2. Архітектура IoT екосистеми</dc:title>
  <dc:subject>Технології створення програмних продуктів</dc:subject>
  <dc:language>uk-UA</dc:language>
</cp:coreProperties>
</file>