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A119ED9">
      <w:pPr>
        <w:pBdr/>
        <w:spacing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МІНІСТЕРСТВО ОСВІТИ I НАУКИ УКРАЇНИ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324A9C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КИЇВСЬКИЙ НАЦІОНАЛЬНИЙ УНІВЕРСИТЕТ ІМЕНІ ТАРАСА ШЕВЧЕНКА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60A397E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ФАКУЛЬТЕТ ІНФОРМАЦІЙНИХ ТЕХНОЛОГІЙ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AA494F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КАФЕДРА ІНФОРМАЦІЙНИХ СИСТЕМ ТА ТЕХНОЛОГІЙ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2FFBB8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br/>
        <w:t xml:space="preserve">  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D8A9E5B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Лабораторна робота № </w:t>
      </w:r>
      <w:r>
        <w:rPr>
          <w:rFonts w:ascii="Times New Roman" w:hAnsi="Times New Roman" w:cs="Times New Roman"/>
          <w:b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</w:r>
    </w:p>
    <w:p w14:paraId="19E07F4D">
      <w:pPr>
        <w:pBdr/>
        <w:spacing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 дисципліни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«</w:t>
      </w:r>
      <w:r>
        <w:rPr>
          <w:rFonts w:ascii="Times New Roman" w:hAnsi="Times New Roman" w:eastAsia="Times New Roman" w:cs="Times New Roman"/>
          <w:b/>
          <w:sz w:val="28"/>
        </w:rPr>
      </w:r>
      <w:r>
        <w:rPr>
          <w:rFonts w:ascii="Times New Roman" w:hAnsi="Times New Roman" w:eastAsia="Times New Roman" w:cs="Times New Roman"/>
          <w:b/>
          <w:sz w:val="28"/>
        </w:rPr>
        <w:t xml:space="preserve">Проєктування інформаційних систем</w:t>
      </w:r>
      <w:r>
        <w:rPr>
          <w:rFonts w:ascii="Times New Roman" w:hAnsi="Times New Roman" w:eastAsia="Times New Roman" w:cs="Times New Roman"/>
          <w:b/>
          <w:sz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»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B905C1F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C1C88FC">
      <w:pPr>
        <w:pBdr/>
        <w:spacing/>
        <w:ind/>
        <w:jc w:val="center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Тема: «</w:t>
      </w:r>
      <w:r>
        <w:rPr>
          <w:rFonts w:ascii="Times New Roman" w:hAnsi="Times New Roman" w:eastAsia="Times New Roman" w:cs="Times New Roman"/>
          <w:sz w:val="28"/>
          <w:szCs w:val="28"/>
        </w:rPr>
        <w:t>Опанування CASE-засобів моделювання систем. Створення функціональної моделі в нотаціях IDEF0 та IDEF3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</w:rPr>
        <w:br/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 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F222511">
      <w:pPr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18929217">
      <w:pPr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1CB31CD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                                                                 Виконав: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B43C91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                                                                              студент гр. ІР-31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684BA6D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                                                                       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Петро Кравченко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FC4C0C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                                                                      Перевірив: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BA42AA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                                                                             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Зараховано від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259EC8F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Гладка Мирослава Вікторівна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778369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___________________________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637E8A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(підпис викладача)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6CAD3CA">
      <w:pPr>
        <w:pBdr/>
        <w:spacing/>
        <w:ind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286A18F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Київ-2026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sectPr>
          <w:footerReference w:type="first" r:id="rId10"/>
          <w:footerReference w:type="default" r:id="rId11"/>
          <w:headerReference w:type="first" r:id="rId12"/>
          <w:headerReference w:type="default" r:id="rId13"/>
          <w:footnotePr/>
          <w:endnotePr/>
          <w:type w:val="nextPage"/>
          <w:pgSz w:h="16838" w:orient="portrait" w:w="11906"/>
          <w:pgMar w:top="1134" w:right="850" w:bottom="1134" w:left="1701" w:header="709" w:footer="709" w:gutter="0"/>
          <w:cols w:num="1" w:sep="0" w:space="708" w:equalWidth="1"/>
          <w:titlePg/>
        </w:sectPr>
      </w:pPr>
    </w:p>
    <w:p>
      <w:pPr>
        <w:keepNext w:val="0"/>
        <w:widowControl/>
        <w:spacing w:line="360" w:lineRule="auto" w:before="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ЗМІСТ</w:t>
      </w:r>
    </w:p>
    <w:p>
      <w:pPr>
        <w:pStyle w:val="189"/>
        <w:keepNext w:val="0"/>
        <w:widowControl/>
        <w:tabs>
          <w:tab w:pos="9354" w:val="right" w:leader="dot"/>
        </w:tabs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TOC \o "1-3" \h \z \u 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hyperlink w:anchor="_Toc000001" w:history="1">
        <w:r>
          <w:rPr>
            <w:rFonts w:ascii="Times New Roman" w:hAnsi="Times New Roman" w:cs="Times New Roman"/>
            <w:sz w:val="28"/>
            <w:szCs w:val="28"/>
          </w:rPr>
          <w:t xml:space="preserve">МЕТА РОБОТИ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_Toc000001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3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189"/>
        <w:keepNext w:val="0"/>
        <w:widowControl/>
        <w:tabs>
          <w:tab w:pos="9354" w:val="right" w:leader="dot"/>
        </w:tabs>
        <w:spacing w:line="360" w:lineRule="auto" w:before="0" w:after="0"/>
        <w:ind w:firstLine="0" w:left="0"/>
        <w:jc w:val="left"/>
      </w:pPr>
      <w:hyperlink w:anchor="_Toc000002" w:history="1">
        <w:r>
          <w:rPr>
            <w:rFonts w:ascii="Times New Roman" w:hAnsi="Times New Roman" w:cs="Times New Roman"/>
            <w:sz w:val="28"/>
            <w:szCs w:val="28"/>
          </w:rPr>
          <w:t xml:space="preserve">КОРОТКІ ТЕОРЕТИЧНІ ВІДОМОСТІ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_Toc000002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3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189"/>
        <w:keepNext w:val="0"/>
        <w:widowControl/>
        <w:tabs>
          <w:tab w:pos="9354" w:val="right" w:leader="dot"/>
        </w:tabs>
        <w:spacing w:line="360" w:lineRule="auto" w:before="0" w:after="0"/>
        <w:ind w:firstLine="0" w:left="0"/>
        <w:jc w:val="left"/>
      </w:pPr>
      <w:hyperlink w:anchor="_Toc000003" w:history="1">
        <w:r>
          <w:rPr>
            <w:rFonts w:ascii="Times New Roman" w:hAnsi="Times New Roman" w:cs="Times New Roman"/>
            <w:sz w:val="28"/>
            <w:szCs w:val="28"/>
          </w:rPr>
          <w:t xml:space="preserve">ХІД ВИКОНАННЯ РОБОТИ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_Toc000003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5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190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04" w:history="1">
        <w:r>
          <w:rPr>
            <w:rFonts w:ascii="Times New Roman" w:hAnsi="Times New Roman" w:cs="Times New Roman"/>
            <w:sz w:val="28"/>
            <w:szCs w:val="28"/>
          </w:rPr>
          <w:t xml:space="preserve">1. Створення контекстної діаграми в нотації IDEF0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_Toc000004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5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190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05" w:history="1">
        <w:r>
          <w:rPr>
            <w:rFonts w:ascii="Times New Roman" w:hAnsi="Times New Roman" w:cs="Times New Roman"/>
            <w:sz w:val="28"/>
            <w:szCs w:val="28"/>
          </w:rPr>
          <w:t xml:space="preserve">2. Звіт за моделлю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_Toc000005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8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190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06" w:history="1">
        <w:r>
          <w:rPr>
            <w:rFonts w:ascii="Times New Roman" w:hAnsi="Times New Roman" w:cs="Times New Roman"/>
            <w:sz w:val="28"/>
            <w:szCs w:val="28"/>
          </w:rPr>
          <w:t xml:space="preserve">3. Створення діаграм декомпозиції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_Toc000006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10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190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07" w:history="1">
        <w:r>
          <w:rPr>
            <w:rFonts w:ascii="Times New Roman" w:hAnsi="Times New Roman" w:cs="Times New Roman"/>
            <w:sz w:val="28"/>
            <w:szCs w:val="28"/>
          </w:rPr>
          <w:t xml:space="preserve">4. Створення діаграми дерева вузлів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_Toc000007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16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190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08" w:history="1">
        <w:r>
          <w:rPr>
            <w:rFonts w:ascii="Times New Roman" w:hAnsi="Times New Roman" w:cs="Times New Roman"/>
            <w:sz w:val="28"/>
            <w:szCs w:val="28"/>
          </w:rPr>
          <w:t xml:space="preserve">5. Створення FEO-діаграми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_Toc000008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18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190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09" w:history="1">
        <w:r>
          <w:rPr>
            <w:rFonts w:ascii="Times New Roman" w:hAnsi="Times New Roman" w:cs="Times New Roman"/>
            <w:sz w:val="28"/>
            <w:szCs w:val="28"/>
          </w:rPr>
          <w:t xml:space="preserve">6. Розділення та злиття моделей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_Toc000009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20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190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10" w:history="1">
        <w:r>
          <w:rPr>
            <w:rFonts w:ascii="Times New Roman" w:hAnsi="Times New Roman" w:cs="Times New Roman"/>
            <w:sz w:val="28"/>
            <w:szCs w:val="28"/>
          </w:rPr>
          <w:t xml:space="preserve">7. Створення діаграми IDEF3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_Toc000010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24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190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11" w:history="1">
        <w:r>
          <w:rPr>
            <w:rFonts w:ascii="Times New Roman" w:hAnsi="Times New Roman" w:cs="Times New Roman"/>
            <w:sz w:val="28"/>
            <w:szCs w:val="28"/>
          </w:rPr>
          <w:t xml:space="preserve">8. Створення діаграми сценарію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_Toc000011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26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189"/>
        <w:keepNext w:val="0"/>
        <w:widowControl/>
        <w:tabs>
          <w:tab w:pos="9354" w:val="right" w:leader="dot"/>
        </w:tabs>
        <w:spacing w:line="360" w:lineRule="auto" w:before="0" w:after="0"/>
        <w:ind w:firstLine="0" w:left="0"/>
        <w:jc w:val="left"/>
      </w:pPr>
      <w:hyperlink w:anchor="_Toc000012" w:history="1">
        <w:r>
          <w:rPr>
            <w:rFonts w:ascii="Times New Roman" w:hAnsi="Times New Roman" w:cs="Times New Roman"/>
            <w:sz w:val="28"/>
            <w:szCs w:val="28"/>
          </w:rPr>
          <w:t xml:space="preserve">ГРАФІЧНА ЧАСТИНА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_Toc000012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28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189"/>
        <w:keepNext w:val="0"/>
        <w:widowControl/>
        <w:tabs>
          <w:tab w:pos="9354" w:val="right" w:leader="dot"/>
        </w:tabs>
        <w:spacing w:line="360" w:lineRule="auto" w:before="0" w:after="0"/>
        <w:ind w:firstLine="0" w:left="0"/>
        <w:jc w:val="left"/>
      </w:pPr>
      <w:hyperlink w:anchor="_Toc000013" w:history="1">
        <w:r>
          <w:rPr>
            <w:rFonts w:ascii="Times New Roman" w:hAnsi="Times New Roman" w:cs="Times New Roman"/>
            <w:sz w:val="28"/>
            <w:szCs w:val="28"/>
          </w:rPr>
          <w:t xml:space="preserve">ВИСНОВКИ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_Toc000013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29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189"/>
        <w:keepNext w:val="0"/>
        <w:widowControl/>
        <w:tabs>
          <w:tab w:pos="9354" w:val="right" w:leader="dot"/>
        </w:tabs>
        <w:spacing w:line="360" w:lineRule="auto" w:before="0" w:after="0"/>
        <w:ind w:firstLine="0" w:left="0"/>
        <w:jc w:val="left"/>
      </w:pPr>
      <w:hyperlink w:anchor="_Toc000014" w:history="1">
        <w:r>
          <w:rPr>
            <w:rFonts w:ascii="Times New Roman" w:hAnsi="Times New Roman" w:cs="Times New Roman"/>
            <w:sz w:val="28"/>
            <w:szCs w:val="28"/>
          </w:rPr>
          <w:t xml:space="preserve">СПИСОК ВИКОРИСТАНИХ ДЖЕРЕЛ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_Toc000014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30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  <w:r>
        <w:rPr>
          <w:rFonts w:ascii="Times New Roman" w:hAnsi="Times New Roman" w:cs="Times New Roman"/>
          <w:sz w:val="28"/>
          <w:szCs w:val="28"/>
        </w:rPr>
        <w:fldChar w:fldCharType="end"/>
      </w:r>
    </w:p>
    <w:p>
      <w:pPr>
        <w:pStyle w:val="139"/>
        <w:keepNext/>
        <w:pageBreakBefore/>
        <w:widowControl/>
        <w:spacing w:line="360" w:lineRule="auto" w:before="240" w:after="240"/>
        <w:ind w:firstLine="0" w:left="0"/>
        <w:jc w:val="center"/>
      </w:pPr>
      <w:bookmarkStart w:id="1" w:name="_Toc000001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МЕТА РОБОТИ</w:t>
      </w:r>
      <w:bookmarkEnd w:id="1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Опанувати методику функціонального моделювання засобами CASE-технологій: створити для умовного регіонального центру протидронової оборони РЦПДО «Щит-Північ» функціональну модель у нотації IDEF0 (контекстна діаграма, діаграми декомпозиції, дерево вузлів, FEO-діаграма), сформувати звіт за моделлю, виконати розділення та злиття моделей, побудувати діаграму IDEF3 та діаграму сценарію.</w:t>
      </w:r>
    </w:p>
    <w:p>
      <w:pPr>
        <w:pStyle w:val="139"/>
        <w:keepNext/>
        <w:pageBreakBefore w:val="0"/>
        <w:widowControl/>
        <w:spacing w:line="360" w:lineRule="auto" w:before="240" w:after="240"/>
        <w:ind w:firstLine="0" w:left="0"/>
        <w:jc w:val="center"/>
      </w:pPr>
      <w:bookmarkStart w:id="2" w:name="_Toc000002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КОРОТКІ ТЕОРЕТИЧНІ ВІДОМОСТІ</w:t>
      </w:r>
      <w:bookmarkEnd w:id="2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CASE-засоби підтримують процеси життєвого циклу програмного забезпечення та містять графічні засоби аналізу, репозитарій і засоби документування. AllFusion Process Modeler (раніше BPwin) реалізує нотації IDEF0, IDEF3 і DFD та дозволяє поєднувати їх в одній моделі.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Згідно з лекцією «CASE-засоби структурного аналізу складної системи. Нотація IDEF0» IDEF0-модель — це набір погоджених діаграм, фрагментів тексту і глосарію. Контекстна діаграма (рівень А-0) подає систему як «чорну скриньку» з одним функціональним блоком, метою моделювання та точкою зору. Функціональний блок має чотири види стрілок (ICOM): вхід (зліва) — те, що перетворюється; управління (зверху) — те, що регламентує виконання; вихід (справа) — результат; механізм (знизу) — виконавці та засоби. Стрілка виклику використовується для розділення та злиття моделей. Декомпозиція розбиває функцію на підфункції, а ICOM-кодування зберігає зв’язок граничних стрілок дочірньої діаграми зі стрілками батьківського блоку.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побудови IDEF0-діаграм: модель обов’язково містить контекстну діаграму А-0; блоки розташовують по діагоналі; неконтекстні діаграми містять від 3 до 6 блоків; імена функцій — дієслова, імена стрілок — іменники, всі імена унікальні; кожен блок має щонайменше одну стрілку управління й одну стрілку виходу; кількість перетинів і поворотів стрілок мінімізують; стрілки зі спільним джерелом об’єднують. Між блоками розрізняють зв’язки «вихід — вхід», «вихід — управління», «вихід — механізм» і зворотний зв’язок. Тунельовані стрілки (у круглих дужках) не переносяться на сусідній рівень моделі. Діаграма дерева вузлів відображає ієрархію функцій без стрілок, а FEO-діаграма (For Exposition Only — «тільки для експозиції») ілюструє окремий аспект моделі й не підпорядковується всім правилам IDEF0.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Відповідно до лекції «Нотації IDEF3, DFD» IDEF3 описує послідовність дій і паралелізм у вигляді сценарію процесу. Основна одиниця — одиниця роботи (UOW), що має номер і супровідний опис (об’єкти, факти, обмеження). Зв’язки: передування (суцільна стрілка), потік об’єктів (подвійна стрілка), відношення (пунктир), об’єкт посилання (лінія без стрілки). Перехрестя (J) бувають кон’юнкцією (асинхронне та синхронне «і», позначення &amp;), диз’юнкцією (асинхронне та синхронне «або», O) та виключною диз’юнкцією (X); синхронні перехрестя позначають подвійною вертикальною лінією. Діаграма сценарію подає одну конкретну реалізацію процесу.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Оскільки AllFusion Process Modeler працює лише в середовищі Windows, діаграми побудовано засобами автоматизованого генерування відповідно до стандартів IDEF0 (FIPS PUB 183) та IDEF3; оформлення (рамка діаграми з полями «Автор», «Проєкт», «Вузол», «Назва», «Номер», ICOM-коди, номери вузлів) відтворює формат звітних діаграм AllFusion Process Modeler.</w:t>
      </w:r>
    </w:p>
    <w:p>
      <w:pPr>
        <w:pStyle w:val="139"/>
        <w:keepNext/>
        <w:pageBreakBefore/>
        <w:widowControl/>
        <w:spacing w:line="360" w:lineRule="auto" w:before="240" w:after="240"/>
        <w:ind w:firstLine="0" w:left="0"/>
        <w:jc w:val="center"/>
      </w:pPr>
      <w:bookmarkStart w:id="3" w:name="_Toc000003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ХІД ВИКОНАННЯ РОБОТИ</w:t>
      </w:r>
      <w:bookmarkEnd w:id="3"/>
    </w:p>
    <w:p>
      <w:pPr>
        <w:pStyle w:val="140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4" w:name="_Toc000004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 Створення контекстної діаграми в нотації IDEF0</w:t>
      </w:r>
      <w:bookmarkEnd w:id="4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створено для умовного РЦПДО «Щит-Північ» (</w:t>
      </w: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навчальна умовна модель організації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ЛР1) у цільовому стані після впровадження IoT-платформи «Щит-Лінк». Властивості моделі, які в AllFusion Process Modeler задаються у вікні Model Properties, наведено в табл. 3.1.</w:t>
      </w:r>
    </w:p>
    <w:p>
      <w:pPr>
        <w:keepNext/>
        <w:pageBreakBefore w:val="0"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3.1 — Властивості моделі (Model Properties)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rPr>
          <w:tblHeader w:val="true"/>
          <w:cantSplit w:val="true"/>
        </w:trPr>
        <w:tc>
          <w:tcPr>
            <w:tcW w:type="dxa" w:w="263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Властивість</w:t>
            </w:r>
          </w:p>
        </w:tc>
        <w:tc>
          <w:tcPr>
            <w:tcW w:type="dxa" w:w="67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Значення</w:t>
            </w:r>
          </w:p>
        </w:tc>
      </w:tr>
      <w:tr>
        <w:trPr>
          <w:cantSplit w:val="true"/>
        </w:trPr>
        <w:tc>
          <w:tcPr>
            <w:tcW w:type="dxa" w:w="263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 моделі (Model name)</w:t>
            </w:r>
          </w:p>
        </w:tc>
        <w:tc>
          <w:tcPr>
            <w:tcW w:type="dxa" w:w="67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Діяльність РЦПДО «Щит-Північ» з перехоплення повітряних цілей</w:t>
            </w:r>
          </w:p>
        </w:tc>
      </w:tr>
      <w:tr>
        <w:trPr>
          <w:cantSplit w:val="true"/>
        </w:trPr>
        <w:tc>
          <w:tcPr>
            <w:tcW w:type="dxa" w:w="263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Проєкт (Project)</w:t>
            </w:r>
          </w:p>
        </w:tc>
        <w:tc>
          <w:tcPr>
            <w:tcW w:type="dxa" w:w="67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IoT-платформа «Щит-Лінк»</w:t>
            </w:r>
          </w:p>
        </w:tc>
      </w:tr>
      <w:tr>
        <w:trPr>
          <w:cantSplit w:val="true"/>
        </w:trPr>
        <w:tc>
          <w:tcPr>
            <w:tcW w:type="dxa" w:w="263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Автор (Author)</w:t>
            </w:r>
          </w:p>
        </w:tc>
        <w:tc>
          <w:tcPr>
            <w:tcW w:type="dxa" w:w="67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Кравченко П., гр. ІР-31</w:t>
            </w:r>
          </w:p>
        </w:tc>
      </w:tr>
      <w:tr>
        <w:trPr>
          <w:cantSplit w:val="true"/>
        </w:trPr>
        <w:tc>
          <w:tcPr>
            <w:tcW w:type="dxa" w:w="263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Часове представлення (Time Frame)</w:t>
            </w:r>
          </w:p>
        </w:tc>
        <w:tc>
          <w:tcPr>
            <w:tcW w:type="dxa" w:w="67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TO-BE (як має бути)</w:t>
            </w:r>
          </w:p>
        </w:tc>
      </w:tr>
      <w:tr>
        <w:trPr>
          <w:cantSplit w:val="true"/>
        </w:trPr>
        <w:tc>
          <w:tcPr>
            <w:tcW w:type="dxa" w:w="263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Мета (Purpose)</w:t>
            </w:r>
          </w:p>
        </w:tc>
        <w:tc>
          <w:tcPr>
            <w:tcW w:type="dxa" w:w="67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Визначити функції центру та інформаційні потоки між ними для обґрунтування вимог до IoT-платформи «Щит-Лінк».</w:t>
            </w:r>
          </w:p>
        </w:tc>
      </w:tr>
      <w:tr>
        <w:trPr>
          <w:cantSplit w:val="true"/>
        </w:trPr>
        <w:tc>
          <w:tcPr>
            <w:tcW w:type="dxa" w:w="263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зору (Viewpoint)</w:t>
            </w:r>
          </w:p>
        </w:tc>
        <w:tc>
          <w:tcPr>
            <w:tcW w:type="dxa" w:w="67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Оперативний черговий командного пункту.</w:t>
            </w:r>
          </w:p>
        </w:tc>
      </w:tr>
      <w:tr>
        <w:trPr>
          <w:cantSplit w:val="true"/>
        </w:trPr>
        <w:tc>
          <w:tcPr>
            <w:tcW w:type="dxa" w:w="263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Визначення (Definition)</w:t>
            </w:r>
          </w:p>
        </w:tc>
        <w:tc>
          <w:tcPr>
            <w:tcW w:type="dxa" w:w="67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Функціональна модель процесу виявлення, призначення, виконання та оцінки перехоплення повітряних цілей дронами-перехоплювачами з підтримкою платформи «Щит-Лінк».</w:t>
            </w:r>
          </w:p>
        </w:tc>
      </w:tr>
      <w:tr>
        <w:trPr>
          <w:cantSplit w:val="true"/>
        </w:trPr>
        <w:tc>
          <w:tcPr>
            <w:tcW w:type="dxa" w:w="2631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Охоплення (Scope)</w:t>
            </w:r>
          </w:p>
        </w:tc>
        <w:tc>
          <w:tcPr>
            <w:tcW w:type="dxa" w:w="6723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Від надходження сигналів сенсорів до звіту про результат перехоплення та поповнення ресурсів; керування польотом перехоплювачів і засоби ураження не моделюються.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Контекстна діаграма (рис. 3.1) містить єдиний блок «Забезпечити перехоплення повітряних цілей» і стрілки ICOM, перелік яких з визначеннями наведено в табл. 3.2 (аналог табл. 3.1 методичних вказівок).</w:t>
      </w:r>
    </w:p>
    <w:p>
      <w:pPr>
        <w:keepNext/>
        <w:pageBreakBefore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3.2 — Стрілки контекстної діаграми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type="dxa" w:w="29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Назва стрілки (Arrow Name)</w:t>
            </w:r>
          </w:p>
        </w:tc>
        <w:tc>
          <w:tcPr>
            <w:tcW w:type="dxa" w:w="491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Визначення стрілки (Arrow Definition)</w:t>
            </w:r>
          </w:p>
        </w:tc>
        <w:tc>
          <w:tcPr>
            <w:tcW w:type="dxa" w:w="152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 (Arrow Type)</w:t>
            </w:r>
          </w:p>
        </w:tc>
      </w:tr>
      <w:tr>
        <w:trPr>
          <w:cantSplit w:val="true"/>
        </w:trPr>
        <w:tc>
          <w:tcPr>
            <w:tcW w:type="dxa" w:w="29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Сигнали сенсорів</w:t>
            </w:r>
          </w:p>
        </w:tc>
        <w:tc>
          <w:tcPr>
            <w:tcW w:type="dxa" w:w="491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Виявлення від акустичних вузлів, РЛС і оптико-електронних постів</w:t>
            </w:r>
          </w:p>
        </w:tc>
        <w:tc>
          <w:tcPr>
            <w:tcW w:type="dxa" w:w="152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Input</w:t>
            </w:r>
          </w:p>
        </w:tc>
      </w:tr>
      <w:tr>
        <w:trPr>
          <w:cantSplit w:val="true"/>
        </w:trPr>
        <w:tc>
          <w:tcPr>
            <w:tcW w:type="dxa" w:w="29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Перехоплювачі та АКБ</w:t>
            </w:r>
          </w:p>
        </w:tc>
        <w:tc>
          <w:tcPr>
            <w:tcW w:type="dxa" w:w="491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Поставки дронів-перехоплювачів і акумуляторних батарей</w:t>
            </w:r>
          </w:p>
        </w:tc>
        <w:tc>
          <w:tcPr>
            <w:tcW w:type="dxa" w:w="152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Input</w:t>
            </w:r>
          </w:p>
        </w:tc>
      </w:tr>
      <w:tr>
        <w:trPr>
          <w:cantSplit w:val="true"/>
        </w:trPr>
        <w:tc>
          <w:tcPr>
            <w:tcW w:type="dxa" w:w="29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Накази та правила застосування</w:t>
            </w:r>
          </w:p>
        </w:tc>
        <w:tc>
          <w:tcPr>
            <w:tcW w:type="dxa" w:w="491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Розпорядження вищого КП, правила застосування, режими готовності</w:t>
            </w:r>
          </w:p>
        </w:tc>
        <w:tc>
          <w:tcPr>
            <w:tcW w:type="dxa" w:w="152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Control</w:t>
            </w:r>
          </w:p>
        </w:tc>
      </w:tr>
      <w:tr>
        <w:trPr>
          <w:cantSplit w:val="true"/>
        </w:trPr>
        <w:tc>
          <w:tcPr>
            <w:tcW w:type="dxa" w:w="29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Плани польотів дружньої авіації</w:t>
            </w:r>
          </w:p>
        </w:tc>
        <w:tc>
          <w:tcPr>
            <w:tcW w:type="dxa" w:w="491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Коридори та часові вікна польотів своєї авіації</w:t>
            </w:r>
          </w:p>
        </w:tc>
        <w:tc>
          <w:tcPr>
            <w:tcW w:type="dxa" w:w="152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Control</w:t>
            </w:r>
          </w:p>
        </w:tc>
      </w:tr>
      <w:tr>
        <w:trPr>
          <w:cantSplit w:val="true"/>
        </w:trPr>
        <w:tc>
          <w:tcPr>
            <w:tcW w:type="dxa" w:w="29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Нормативні вимоги</w:t>
            </w:r>
          </w:p>
        </w:tc>
        <w:tc>
          <w:tcPr>
            <w:tcW w:type="dxa" w:w="491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Законодавство, вимоги КСЗІ, ДСТУ, регламенти звітності</w:t>
            </w:r>
          </w:p>
        </w:tc>
        <w:tc>
          <w:tcPr>
            <w:tcW w:type="dxa" w:w="152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Control</w:t>
            </w:r>
          </w:p>
        </w:tc>
      </w:tr>
      <w:tr>
        <w:trPr>
          <w:cantSplit w:val="true"/>
        </w:trPr>
        <w:tc>
          <w:tcPr>
            <w:tcW w:type="dxa" w:w="29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Повітряна обстановка</w:t>
            </w:r>
          </w:p>
        </w:tc>
        <w:tc>
          <w:tcPr>
            <w:tcW w:type="dxa" w:w="491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Єдина картина треків для вищого КП і суміжних центрів</w:t>
            </w:r>
          </w:p>
        </w:tc>
        <w:tc>
          <w:tcPr>
            <w:tcW w:type="dxa" w:w="152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Output</w:t>
            </w:r>
          </w:p>
        </w:tc>
      </w:tr>
      <w:tr>
        <w:trPr>
          <w:cantSplit w:val="true"/>
        </w:trPr>
        <w:tc>
          <w:tcPr>
            <w:tcW w:type="dxa" w:w="29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Результати перехоплення</w:t>
            </w:r>
          </w:p>
        </w:tc>
        <w:tc>
          <w:tcPr>
            <w:tcW w:type="dxa" w:w="491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Перехоплені (знешкоджені) повітряні цілі</w:t>
            </w:r>
          </w:p>
        </w:tc>
        <w:tc>
          <w:tcPr>
            <w:tcW w:type="dxa" w:w="152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Output</w:t>
            </w:r>
          </w:p>
        </w:tc>
      </w:tr>
      <w:tr>
        <w:trPr>
          <w:cantSplit w:val="true"/>
        </w:trPr>
        <w:tc>
          <w:tcPr>
            <w:tcW w:type="dxa" w:w="29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Звіти про перехоплення</w:t>
            </w:r>
          </w:p>
        </w:tc>
        <w:tc>
          <w:tcPr>
            <w:tcW w:type="dxa" w:w="491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Звіти вищому КП, повідомлення ДСНС, показники ефективності</w:t>
            </w:r>
          </w:p>
        </w:tc>
        <w:tc>
          <w:tcPr>
            <w:tcW w:type="dxa" w:w="152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Output</w:t>
            </w:r>
          </w:p>
        </w:tc>
      </w:tr>
      <w:tr>
        <w:trPr>
          <w:cantSplit w:val="true"/>
        </w:trPr>
        <w:tc>
          <w:tcPr>
            <w:tcW w:type="dxa" w:w="29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на поповнення</w:t>
            </w:r>
          </w:p>
        </w:tc>
        <w:tc>
          <w:tcPr>
            <w:tcW w:type="dxa" w:w="491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постачальнику на перехоплювачі та АКБ</w:t>
            </w:r>
          </w:p>
        </w:tc>
        <w:tc>
          <w:tcPr>
            <w:tcW w:type="dxa" w:w="152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Output</w:t>
            </w:r>
          </w:p>
        </w:tc>
      </w:tr>
      <w:tr>
        <w:trPr>
          <w:cantSplit w:val="true"/>
        </w:trPr>
        <w:tc>
          <w:tcPr>
            <w:tcW w:type="dxa" w:w="29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 КП</w:t>
            </w:r>
          </w:p>
        </w:tc>
        <w:tc>
          <w:tcPr>
            <w:tcW w:type="dxa" w:w="491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Оперативний черговий, офіцер бойового управління, аналітик</w:t>
            </w:r>
          </w:p>
        </w:tc>
        <w:tc>
          <w:tcPr>
            <w:tcW w:type="dxa" w:w="152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Mechanism</w:t>
            </w:r>
          </w:p>
        </w:tc>
      </w:tr>
      <w:tr>
        <w:trPr>
          <w:cantSplit w:val="true"/>
        </w:trPr>
        <w:tc>
          <w:tcPr>
            <w:tcW w:type="dxa" w:w="29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Розрахунки перехоплювачів</w:t>
            </w:r>
          </w:p>
        </w:tc>
        <w:tc>
          <w:tcPr>
            <w:tcW w:type="dxa" w:w="491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Командири, оператори і техніки розрахунків</w:t>
            </w:r>
          </w:p>
        </w:tc>
        <w:tc>
          <w:tcPr>
            <w:tcW w:type="dxa" w:w="152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Mechanism</w:t>
            </w:r>
          </w:p>
        </w:tc>
      </w:tr>
      <w:tr>
        <w:trPr>
          <w:cantSplit w:val="true"/>
        </w:trPr>
        <w:tc>
          <w:tcPr>
            <w:tcW w:type="dxa" w:w="29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IoT-платформа «Щит-Лінк»</w:t>
            </w:r>
          </w:p>
        </w:tc>
        <w:tc>
          <w:tcPr>
            <w:tcW w:type="dxa" w:w="491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Програмно-апаратний комплекс збору телеметрії та координації</w:t>
            </w:r>
          </w:p>
        </w:tc>
        <w:tc>
          <w:tcPr>
            <w:tcW w:type="dxa" w:w="152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Mechanism</w:t>
            </w:r>
          </w:p>
        </w:tc>
      </w:tr>
      <w:tr>
        <w:trPr>
          <w:cantSplit w:val="true"/>
        </w:trPr>
        <w:tc>
          <w:tcPr>
            <w:tcW w:type="dxa" w:w="2923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Технічна служба і логістика</w:t>
            </w:r>
          </w:p>
        </w:tc>
        <w:tc>
          <w:tcPr>
            <w:tcW w:type="dxa" w:w="4911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Техніки технічної служби, логісти</w:t>
            </w:r>
          </w:p>
        </w:tc>
        <w:tc>
          <w:tcPr>
            <w:tcW w:type="dxa" w:w="1520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Mechanism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sectPr>
          <w:footerReference w:type="default" r:id="rId8"/>
          <w:headerReference w:type="default" r:id="rId9"/>
          <w:footnotePr/>
          <w:endnotePr/>
          <w:pgSz w:h="16838" w:w="11906"/>
          <w:pgMar w:top="1134" w:right="850" w:bottom="1134" w:left="1701" w:header="709" w:footer="709" w:gutter="0"/>
          <w:cols w:num="1" w:sep="0" w:space="708" w:equalWidth="1"/>
        </w:sectPr>
      </w:pP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9252000" cy="4385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ontex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252000" cy="4385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3.1 — Контекстна діаграма А-0 «Забезпечити перехоплення повітряних цілей»</w:t>
      </w:r>
    </w:p>
    <w:p>
      <w:pPr>
        <w:sectPr>
          <w:footnotePr/>
          <w:endnotePr/>
          <w:pgSz w:h="11906" w:w="16838" w:orient="landscape"/>
          <w:pgMar w:top="1701" w:right="1134" w:bottom="850" w:left="1134" w:header="709" w:footer="709" w:gutter="0"/>
          <w:cols w:num="1" w:sep="0" w:space="708" w:equalWidth="1"/>
        </w:sectPr>
      </w:pPr>
    </w:p>
    <w:p>
      <w:pPr>
        <w:pStyle w:val="140"/>
        <w:keepNext/>
        <w:pageBreakBefore/>
        <w:widowControl/>
        <w:spacing w:line="360" w:lineRule="auto" w:before="120" w:after="120"/>
        <w:ind w:firstLine="709" w:left="0"/>
        <w:jc w:val="left"/>
      </w:pPr>
      <w:bookmarkStart w:id="5" w:name="_Toc000005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 Звіт за моделлю</w:t>
      </w:r>
      <w:bookmarkEnd w:id="5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Звіт за моделлю (Model Report, меню Tools / Reports) містить властивості моделі (табл. 3.1), словник робіт і словник стрілок. Словник робіт усіх рівнів наведено в табл. 3.3, а словник стрілок діаграми декомпозиції А0 з джерелами та приймачами — у табл. 3.4.</w:t>
      </w:r>
    </w:p>
    <w:p>
      <w:pPr>
        <w:keepNext/>
        <w:pageBreakBefore w:val="0"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3.3 — Звіт за моделлю: словник робіт (Activity Dictionary)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type="dxa" w:w="9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Вузол</w:t>
            </w:r>
          </w:p>
        </w:tc>
        <w:tc>
          <w:tcPr>
            <w:tcW w:type="dxa" w:w="315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Назва роботи</w:t>
            </w:r>
          </w:p>
        </w:tc>
        <w:tc>
          <w:tcPr>
            <w:tcW w:type="dxa" w:w="526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Визначення роботи</w:t>
            </w:r>
          </w:p>
        </w:tc>
      </w:tr>
      <w:tr>
        <w:trPr>
          <w:cantSplit w:val="true"/>
        </w:trPr>
        <w:tc>
          <w:tcPr>
            <w:tcW w:type="dxa" w:w="9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A0</w:t>
            </w:r>
          </w:p>
        </w:tc>
        <w:tc>
          <w:tcPr>
            <w:tcW w:type="dxa" w:w="315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Забезпечити перехоплення повітряних цілей</w:t>
            </w:r>
          </w:p>
        </w:tc>
        <w:tc>
          <w:tcPr>
            <w:tcW w:type="dxa" w:w="526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Функціональна модель процесу виявлення, призначення, виконання та оцінки перехоплення повітряних цілей дронами-перехоплювачами з підтримкою платформи «Щит-Лінк».</w:t>
            </w:r>
          </w:p>
        </w:tc>
      </w:tr>
      <w:tr>
        <w:trPr>
          <w:cantSplit w:val="true"/>
        </w:trPr>
        <w:tc>
          <w:tcPr>
            <w:tcW w:type="dxa" w:w="9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A1</w:t>
            </w:r>
          </w:p>
        </w:tc>
        <w:tc>
          <w:tcPr>
            <w:tcW w:type="dxa" w:w="315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Сформувати повітряну обстановку</w:t>
            </w:r>
          </w:p>
        </w:tc>
        <w:tc>
          <w:tcPr>
            <w:tcW w:type="dxa" w:w="526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Прийом і нормалізація даних сенсорів, злиття виявлень у треки, класифікація та підтвердження цілей</w:t>
            </w:r>
          </w:p>
        </w:tc>
      </w:tr>
      <w:tr>
        <w:trPr>
          <w:cantSplit w:val="true"/>
        </w:trPr>
        <w:tc>
          <w:tcPr>
            <w:tcW w:type="dxa" w:w="9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A11</w:t>
            </w:r>
          </w:p>
        </w:tc>
        <w:tc>
          <w:tcPr>
            <w:tcW w:type="dxa" w:w="315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Прийняти та нормалізувати дані сенсорів</w:t>
            </w:r>
          </w:p>
        </w:tc>
        <w:tc>
          <w:tcPr>
            <w:tcW w:type="dxa" w:w="526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Автентифікація джерел, перевірка схеми й часу, приведення до канонічного формату</w:t>
            </w:r>
          </w:p>
        </w:tc>
      </w:tr>
      <w:tr>
        <w:trPr>
          <w:cantSplit w:val="true"/>
        </w:trPr>
        <w:tc>
          <w:tcPr>
            <w:tcW w:type="dxa" w:w="9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A12</w:t>
            </w:r>
          </w:p>
        </w:tc>
        <w:tc>
          <w:tcPr>
            <w:tcW w:type="dxa" w:w="315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Злити виявлення у треки</w:t>
            </w:r>
          </w:p>
        </w:tc>
        <w:tc>
          <w:tcPr>
            <w:tcW w:type="dxa" w:w="526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Асоціація виявлень, тріангуляція, ведення життєвого циклу треку</w:t>
            </w:r>
          </w:p>
        </w:tc>
      </w:tr>
      <w:tr>
        <w:trPr>
          <w:cantSplit w:val="true"/>
        </w:trPr>
        <w:tc>
          <w:tcPr>
            <w:tcW w:type="dxa" w:w="9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A13</w:t>
            </w:r>
          </w:p>
        </w:tc>
        <w:tc>
          <w:tcPr>
            <w:tcW w:type="dxa" w:w="315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Класифікувати ціль і оцінити загрозу</w:t>
            </w:r>
          </w:p>
        </w:tc>
        <w:tc>
          <w:tcPr>
            <w:tcW w:type="dxa" w:w="526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і належність цілі, звірка з планами польотів, розрахунок пріоритету</w:t>
            </w:r>
          </w:p>
        </w:tc>
      </w:tr>
      <w:tr>
        <w:trPr>
          <w:cantSplit w:val="true"/>
        </w:trPr>
        <w:tc>
          <w:tcPr>
            <w:tcW w:type="dxa" w:w="9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A14</w:t>
            </w:r>
          </w:p>
        </w:tc>
        <w:tc>
          <w:tcPr>
            <w:tcW w:type="dxa" w:w="315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Підтвердити ціль</w:t>
            </w:r>
          </w:p>
        </w:tc>
        <w:tc>
          <w:tcPr>
            <w:tcW w:type="dxa" w:w="526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Підтвердження ворожої цілі оперативним черговим</w:t>
            </w:r>
          </w:p>
        </w:tc>
      </w:tr>
      <w:tr>
        <w:trPr>
          <w:cantSplit w:val="true"/>
        </w:trPr>
        <w:tc>
          <w:tcPr>
            <w:tcW w:type="dxa" w:w="9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A2</w:t>
            </w:r>
          </w:p>
        </w:tc>
        <w:tc>
          <w:tcPr>
            <w:tcW w:type="dxa" w:w="315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Призначити перехоплення цілі</w:t>
            </w:r>
          </w:p>
        </w:tc>
        <w:tc>
          <w:tcPr>
            <w:tcW w:type="dxa" w:w="526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Деконфлікція, вибір розрахунку, санкціонування пуску, передача бойового завдання</w:t>
            </w:r>
          </w:p>
        </w:tc>
      </w:tr>
      <w:tr>
        <w:trPr>
          <w:cantSplit w:val="true"/>
        </w:trPr>
        <w:tc>
          <w:tcPr>
            <w:tcW w:type="dxa" w:w="9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A21</w:t>
            </w:r>
          </w:p>
        </w:tc>
        <w:tc>
          <w:tcPr>
            <w:tcW w:type="dxa" w:w="315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Перевірити деконфлікцію</w:t>
            </w:r>
          </w:p>
        </w:tc>
        <w:tc>
          <w:tcPr>
            <w:tcW w:type="dxa" w:w="526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Перевірка зон заборони ураження та планів польотів дружньої авіації</w:t>
            </w:r>
          </w:p>
        </w:tc>
      </w:tr>
      <w:tr>
        <w:trPr>
          <w:cantSplit w:val="true"/>
        </w:trPr>
        <w:tc>
          <w:tcPr>
            <w:tcW w:type="dxa" w:w="9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A22</w:t>
            </w:r>
          </w:p>
        </w:tc>
        <w:tc>
          <w:tcPr>
            <w:tcW w:type="dxa" w:w="315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 розрахунок</w:t>
            </w:r>
          </w:p>
        </w:tc>
        <w:tc>
          <w:tcPr>
            <w:tcW w:type="dxa" w:w="526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Ранжування розрахунків-кандидатів за готовністю та часом перехоплення</w:t>
            </w:r>
          </w:p>
        </w:tc>
      </w:tr>
      <w:tr>
        <w:trPr>
          <w:cantSplit w:val="true"/>
        </w:trPr>
        <w:tc>
          <w:tcPr>
            <w:tcW w:type="dxa" w:w="9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A23</w:t>
            </w:r>
          </w:p>
        </w:tc>
        <w:tc>
          <w:tcPr>
            <w:tcW w:type="dxa" w:w="315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Санкціонувати пуск</w:t>
            </w:r>
          </w:p>
        </w:tc>
        <w:tc>
          <w:tcPr>
            <w:tcW w:type="dxa" w:w="526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Дозвіл оперативного чергового за правилом двох осіб</w:t>
            </w:r>
          </w:p>
        </w:tc>
      </w:tr>
      <w:tr>
        <w:trPr>
          <w:cantSplit w:val="true"/>
        </w:trPr>
        <w:tc>
          <w:tcPr>
            <w:tcW w:type="dxa" w:w="9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A24</w:t>
            </w:r>
          </w:p>
        </w:tc>
        <w:tc>
          <w:tcPr>
            <w:tcW w:type="dxa" w:w="315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Передати бойове завдання</w:t>
            </w:r>
          </w:p>
        </w:tc>
        <w:tc>
          <w:tcPr>
            <w:tcW w:type="dxa" w:w="526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Цифрова доставка завдання на планшет розрахунку та контроль підтвердження</w:t>
            </w:r>
          </w:p>
        </w:tc>
      </w:tr>
      <w:tr>
        <w:trPr>
          <w:cantSplit w:val="true"/>
        </w:trPr>
        <w:tc>
          <w:tcPr>
            <w:tcW w:type="dxa" w:w="9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A3</w:t>
            </w:r>
          </w:p>
        </w:tc>
        <w:tc>
          <w:tcPr>
            <w:tcW w:type="dxa" w:w="315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Виконати місію перехоплення</w:t>
            </w:r>
          </w:p>
        </w:tc>
        <w:tc>
          <w:tcPr>
            <w:tcW w:type="dxa" w:w="526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Прийняття завдання, підготовка, пуск, наведення з підтвердженням оператора, доповідь</w:t>
            </w:r>
          </w:p>
        </w:tc>
      </w:tr>
      <w:tr>
        <w:trPr>
          <w:cantSplit w:val="true"/>
        </w:trPr>
        <w:tc>
          <w:tcPr>
            <w:tcW w:type="dxa" w:w="9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A4</w:t>
            </w:r>
          </w:p>
        </w:tc>
        <w:tc>
          <w:tcPr>
            <w:tcW w:type="dxa" w:w="315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Оцінити результат і звітувати</w:t>
            </w:r>
          </w:p>
        </w:tc>
        <w:tc>
          <w:tcPr>
            <w:tcW w:type="dxa" w:w="526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Збір доказів, оцінка результату, звіти вищому КП, повідомлення ДСНС</w:t>
            </w:r>
          </w:p>
        </w:tc>
      </w:tr>
      <w:tr>
        <w:trPr>
          <w:cantSplit w:val="true"/>
        </w:trPr>
        <w:tc>
          <w:tcPr>
            <w:tcW w:type="dxa" w:w="93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A5</w:t>
            </w:r>
          </w:p>
        </w:tc>
        <w:tc>
          <w:tcPr>
            <w:tcW w:type="dxa" w:w="3157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Забезпечити готовність ресурсів</w:t>
            </w:r>
          </w:p>
        </w:tc>
        <w:tc>
          <w:tcPr>
            <w:tcW w:type="dxa" w:w="5262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Післяпольотний контроль, ремонт, облік запасів, заявки на поповнення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keepNext/>
        <w:pageBreakBefore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3.4 — Звіт за моделлю: стрілки діаграми А0 (Arrow Report)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Стрілка</w:t>
            </w:r>
          </w:p>
        </w:tc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Джерело</w:t>
            </w:r>
          </w:p>
        </w:tc>
        <w:tc>
          <w:tcPr>
            <w:tcW w:type="dxa" w:w="35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Приймач</w:t>
            </w:r>
          </w:p>
        </w:tc>
      </w:tr>
      <w:tr>
        <w:trPr>
          <w:cantSplit w:val="true"/>
        </w:trPr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Сигнали сенсорів</w:t>
            </w:r>
          </w:p>
        </w:tc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Межа діаграми (I1)</w:t>
            </w:r>
          </w:p>
        </w:tc>
        <w:tc>
          <w:tcPr>
            <w:tcW w:type="dxa" w:w="35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A1 (вхід)</w:t>
            </w:r>
          </w:p>
        </w:tc>
      </w:tr>
      <w:tr>
        <w:trPr>
          <w:cantSplit w:val="true"/>
        </w:trPr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Перехоплювачі та АКБ</w:t>
            </w:r>
          </w:p>
        </w:tc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Межа діаграми (I2)</w:t>
            </w:r>
          </w:p>
        </w:tc>
        <w:tc>
          <w:tcPr>
            <w:tcW w:type="dxa" w:w="35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A5 (вхід)</w:t>
            </w:r>
          </w:p>
        </w:tc>
      </w:tr>
      <w:tr>
        <w:trPr>
          <w:cantSplit w:val="true"/>
        </w:trPr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Накази та правила застосування</w:t>
            </w:r>
          </w:p>
        </w:tc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Межа діаграми (C1)</w:t>
            </w:r>
          </w:p>
        </w:tc>
        <w:tc>
          <w:tcPr>
            <w:tcW w:type="dxa" w:w="35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A1 (управління), A2 (управління), A3 (управління)</w:t>
            </w:r>
          </w:p>
        </w:tc>
      </w:tr>
      <w:tr>
        <w:trPr>
          <w:cantSplit w:val="true"/>
        </w:trPr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Плани польотів дружньої авіації</w:t>
            </w:r>
          </w:p>
        </w:tc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Межа діаграми (C2)</w:t>
            </w:r>
          </w:p>
        </w:tc>
        <w:tc>
          <w:tcPr>
            <w:tcW w:type="dxa" w:w="35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A2 (управління)</w:t>
            </w:r>
          </w:p>
        </w:tc>
      </w:tr>
      <w:tr>
        <w:trPr>
          <w:cantSplit w:val="true"/>
        </w:trPr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Нормативні вимоги</w:t>
            </w:r>
          </w:p>
        </w:tc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Межа діаграми (C3)</w:t>
            </w:r>
          </w:p>
        </w:tc>
        <w:tc>
          <w:tcPr>
            <w:tcW w:type="dxa" w:w="35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A4 (управління), A5 (управління)</w:t>
            </w:r>
          </w:p>
        </w:tc>
      </w:tr>
      <w:tr>
        <w:trPr>
          <w:cantSplit w:val="true"/>
        </w:trPr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Повітряна обстановка</w:t>
            </w:r>
          </w:p>
        </w:tc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A1 (вихід)</w:t>
            </w:r>
          </w:p>
        </w:tc>
        <w:tc>
          <w:tcPr>
            <w:tcW w:type="dxa" w:w="35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Межа діаграми (O1)</w:t>
            </w:r>
          </w:p>
        </w:tc>
      </w:tr>
      <w:tr>
        <w:trPr>
          <w:cantSplit w:val="true"/>
        </w:trPr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Підтверджена ціль</w:t>
            </w:r>
          </w:p>
        </w:tc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A1 (вихід)</w:t>
            </w:r>
          </w:p>
        </w:tc>
        <w:tc>
          <w:tcPr>
            <w:tcW w:type="dxa" w:w="35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A2 (вхід)</w:t>
            </w:r>
          </w:p>
        </w:tc>
      </w:tr>
      <w:tr>
        <w:trPr>
          <w:cantSplit w:val="true"/>
        </w:trPr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Бойове завдання</w:t>
            </w:r>
          </w:p>
        </w:tc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A2 (вихід)</w:t>
            </w:r>
          </w:p>
        </w:tc>
        <w:tc>
          <w:tcPr>
            <w:tcW w:type="dxa" w:w="35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A3 (управління)</w:t>
            </w:r>
          </w:p>
        </w:tc>
      </w:tr>
      <w:tr>
        <w:trPr>
          <w:cantSplit w:val="true"/>
        </w:trPr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Результати перехоплення</w:t>
            </w:r>
          </w:p>
        </w:tc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A3 (вихід)</w:t>
            </w:r>
          </w:p>
        </w:tc>
        <w:tc>
          <w:tcPr>
            <w:tcW w:type="dxa" w:w="35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Межа діаграми (O2)</w:t>
            </w:r>
          </w:p>
        </w:tc>
      </w:tr>
      <w:tr>
        <w:trPr>
          <w:cantSplit w:val="true"/>
        </w:trPr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Доповідь про результат</w:t>
            </w:r>
          </w:p>
        </w:tc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A3 (вихід)</w:t>
            </w:r>
          </w:p>
        </w:tc>
        <w:tc>
          <w:tcPr>
            <w:tcW w:type="dxa" w:w="35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A4 (вхід)</w:t>
            </w:r>
          </w:p>
        </w:tc>
      </w:tr>
      <w:tr>
        <w:trPr>
          <w:cantSplit w:val="true"/>
        </w:trPr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Дані про витрату</w:t>
            </w:r>
          </w:p>
        </w:tc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A3 (вихід)</w:t>
            </w:r>
          </w:p>
        </w:tc>
        <w:tc>
          <w:tcPr>
            <w:tcW w:type="dxa" w:w="35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A5 (вхід)</w:t>
            </w:r>
          </w:p>
        </w:tc>
      </w:tr>
      <w:tr>
        <w:trPr>
          <w:cantSplit w:val="true"/>
        </w:trPr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Звіти про перехоплення</w:t>
            </w:r>
          </w:p>
        </w:tc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A4 (вихід)</w:t>
            </w:r>
          </w:p>
        </w:tc>
        <w:tc>
          <w:tcPr>
            <w:tcW w:type="dxa" w:w="35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Межа діаграми (O3)</w:t>
            </w:r>
          </w:p>
        </w:tc>
      </w:tr>
      <w:tr>
        <w:trPr>
          <w:cantSplit w:val="true"/>
        </w:trPr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на поповнення</w:t>
            </w:r>
          </w:p>
        </w:tc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A5 (вихід)</w:t>
            </w:r>
          </w:p>
        </w:tc>
        <w:tc>
          <w:tcPr>
            <w:tcW w:type="dxa" w:w="35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Межа діаграми (O4)</w:t>
            </w:r>
          </w:p>
        </w:tc>
      </w:tr>
      <w:tr>
        <w:trPr>
          <w:cantSplit w:val="true"/>
        </w:trPr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Готові перехоплювачі</w:t>
            </w:r>
          </w:p>
        </w:tc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A5 (вихід)</w:t>
            </w:r>
          </w:p>
        </w:tc>
        <w:tc>
          <w:tcPr>
            <w:tcW w:type="dxa" w:w="35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A3 (вхід)</w:t>
            </w:r>
          </w:p>
        </w:tc>
      </w:tr>
      <w:tr>
        <w:trPr>
          <w:cantSplit w:val="true"/>
        </w:trPr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Дані про готовність</w:t>
            </w:r>
          </w:p>
        </w:tc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A5 (вихід)</w:t>
            </w:r>
          </w:p>
        </w:tc>
        <w:tc>
          <w:tcPr>
            <w:tcW w:type="dxa" w:w="35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A2 (управління)</w:t>
            </w:r>
          </w:p>
        </w:tc>
      </w:tr>
      <w:tr>
        <w:trPr>
          <w:cantSplit w:val="true"/>
        </w:trPr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 КП</w:t>
            </w:r>
          </w:p>
        </w:tc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Межа діаграми (M1)</w:t>
            </w:r>
          </w:p>
        </w:tc>
        <w:tc>
          <w:tcPr>
            <w:tcW w:type="dxa" w:w="35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A1 (механізм), A2 (механізм), A4 (механізм)</w:t>
            </w:r>
          </w:p>
        </w:tc>
      </w:tr>
      <w:tr>
        <w:trPr>
          <w:cantSplit w:val="true"/>
        </w:trPr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Розрахунки перехоплювачів</w:t>
            </w:r>
          </w:p>
        </w:tc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Межа діаграми (M2)</w:t>
            </w:r>
          </w:p>
        </w:tc>
        <w:tc>
          <w:tcPr>
            <w:tcW w:type="dxa" w:w="35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A3 (механізм)</w:t>
            </w:r>
          </w:p>
        </w:tc>
      </w:tr>
      <w:tr>
        <w:trPr>
          <w:cantSplit w:val="true"/>
        </w:trPr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IoT-платформа «Щит-Лінк»</w:t>
            </w:r>
          </w:p>
        </w:tc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Межа діаграми (M3)</w:t>
            </w:r>
          </w:p>
        </w:tc>
        <w:tc>
          <w:tcPr>
            <w:tcW w:type="dxa" w:w="35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A1 (механізм), A2 (механізм), A3 (механізм), A4 (механізм), A5 (механізм)</w:t>
            </w:r>
          </w:p>
        </w:tc>
      </w:tr>
      <w:tr>
        <w:trPr>
          <w:cantSplit w:val="true"/>
        </w:trPr>
        <w:tc>
          <w:tcPr>
            <w:tcW w:type="dxa" w:w="3274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Технічна служба і логістика</w:t>
            </w:r>
          </w:p>
        </w:tc>
        <w:tc>
          <w:tcPr>
            <w:tcW w:type="dxa" w:w="2572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Межа діаграми (M4)</w:t>
            </w:r>
          </w:p>
        </w:tc>
        <w:tc>
          <w:tcPr>
            <w:tcW w:type="dxa" w:w="350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A5 (механізм)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pStyle w:val="140"/>
        <w:keepNext/>
        <w:pageBreakBefore/>
        <w:widowControl/>
        <w:spacing w:line="360" w:lineRule="auto" w:before="120" w:after="120"/>
        <w:ind w:firstLine="709" w:left="0"/>
        <w:jc w:val="left"/>
      </w:pPr>
      <w:bookmarkStart w:id="6" w:name="_Toc000006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 Створення діаграм декомпозиції</w:t>
      </w:r>
      <w:bookmarkEnd w:id="6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Контекстний блок декомпоновано на п’ять робіт (діаграма А0, рис. 3.2), які відповідають функціональним пулам P1–P5 моделі BPMN з лабораторної роботи № 2. Блоки розташовано по діагоналі за порядком домінування. На діаграмі використано всі основні типи зв’язків: «вихід — вхід» (A1 → A2: підтверджена ціль; A3 → A4: доповідь про результат), «вихід — управління» (A2 → A3: бойове завдання), зворотні зв’язки за управлінням (A5 → A2: дані про готовність) і за входом (A5 → A3: готові перехоплювачі). Граничні стрілки мають ICOM-коди (I1–I2, C1–C3, O1–O4, M1–M4), що збігаються зі стрілками контекстної діаграми; стрілки зі спільним джерелом (C1, C3, M1, M3) об’єднано в розгалуження.</w:t>
      </w:r>
    </w:p>
    <w:p>
      <w:pPr>
        <w:sectPr>
          <w:footnotePr/>
          <w:endnotePr/>
          <w:pgSz w:h="16838" w:w="11906"/>
          <w:pgMar w:top="1134" w:right="850" w:bottom="1134" w:left="1701" w:header="709" w:footer="709" w:gutter="0"/>
          <w:cols w:num="1" w:sep="0" w:space="708" w:equalWidth="1"/>
        </w:sectPr>
      </w:pP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9082800" cy="52192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082800" cy="521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3.2 — Діаграма декомпозиції А0 «Забезпечити перехоплення повітряних цілей»</w:t>
      </w:r>
    </w:p>
    <w:p>
      <w:pPr>
        <w:sectPr>
          <w:footnotePr/>
          <w:endnotePr/>
          <w:pgSz w:h="11906" w:w="16838" w:orient="landscape"/>
          <w:pgMar w:top="1701" w:right="1134" w:bottom="850" w:left="1134" w:header="709" w:footer="709" w:gutter="0"/>
          <w:cols w:num="1" w:sep="0" w:space="708" w:equalWidth="1"/>
        </w:sectPr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Роботи A1 «Сформувати повітряну обстановку» і A2 «Призначити перехоплення цілі» декомпоновано на чотири роботи кожну (рис. 3.3, 3.4). На діаграмі A1 використано тунельовані стрілки управління «Протоколи обміну даними» і «Правила ведення треків» (позначені круглими дужками), які діють лише на цьому рівні, та зворотний зв’язок «Запит доуточнення» від A14 до A11. На діаграмі A2 відмова в санкціонуванні повертає процес до вибору розрахунку (зворотний зв’язок за входом). Перелік робіт наведено в табл. 3.3.</w:t>
      </w:r>
    </w:p>
    <w:p>
      <w:pPr>
        <w:sectPr>
          <w:footnotePr/>
          <w:endnotePr/>
          <w:pgSz w:h="16838" w:w="11906"/>
          <w:pgMar w:top="1134" w:right="850" w:bottom="1134" w:left="1701" w:header="709" w:footer="709" w:gutter="0"/>
          <w:cols w:num="1" w:sep="0" w:space="708" w:equalWidth="1"/>
        </w:sectPr>
      </w:pP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9252000" cy="52019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252000" cy="52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3.3 — Діаграма декомпозиції A1 «Сформувати повітряну обстановку»</w:t>
      </w: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9252000" cy="52019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252000" cy="52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3.4 — Діаграма декомпозиції A2 «Призначити перехоплення цілі»</w:t>
      </w:r>
    </w:p>
    <w:p>
      <w:pPr>
        <w:sectPr>
          <w:footnotePr/>
          <w:endnotePr/>
          <w:pgSz w:h="11906" w:w="16838" w:orient="landscape"/>
          <w:pgMar w:top="1701" w:right="1134" w:bottom="850" w:left="1134" w:header="709" w:footer="709" w:gutter="0"/>
          <w:cols w:num="1" w:sep="0" w:space="708" w:equalWidth="1"/>
        </w:sectPr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Перевірку відповідності правилам IDEF0 наведено в табл. 3.5.</w:t>
      </w:r>
    </w:p>
    <w:p>
      <w:pPr>
        <w:keepNext/>
        <w:pageBreakBefore w:val="0"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3.5 — Перевірка діаграм на відповідність правилам IDEF0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rPr>
          <w:tblHeader w:val="true"/>
          <w:cantSplit w:val="true"/>
        </w:trPr>
        <w:tc>
          <w:tcPr>
            <w:tcW w:type="dxa" w:w="467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Правило</w:t>
            </w:r>
          </w:p>
        </w:tc>
        <w:tc>
          <w:tcPr>
            <w:tcW w:type="dxa" w:w="467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rPr>
          <w:cantSplit w:val="true"/>
        </w:trPr>
        <w:tc>
          <w:tcPr>
            <w:tcW w:type="dxa" w:w="467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Наявність контекстної діаграми А-0</w:t>
            </w:r>
          </w:p>
        </w:tc>
        <w:tc>
          <w:tcPr>
            <w:tcW w:type="dxa" w:w="467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Є (рис. 3.1), з метою і точкою зору</w:t>
            </w:r>
          </w:p>
        </w:tc>
      </w:tr>
      <w:tr>
        <w:trPr>
          <w:cantSplit w:val="true"/>
        </w:trPr>
        <w:tc>
          <w:tcPr>
            <w:tcW w:type="dxa" w:w="467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3–6 блоків на неконтекстній діаграмі</w:t>
            </w:r>
          </w:p>
        </w:tc>
        <w:tc>
          <w:tcPr>
            <w:tcW w:type="dxa" w:w="467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А0 — 5 блоків, A1 — 4, A2 — 4</w:t>
            </w:r>
          </w:p>
        </w:tc>
      </w:tr>
      <w:tr>
        <w:trPr>
          <w:cantSplit w:val="true"/>
        </w:trPr>
        <w:tc>
          <w:tcPr>
            <w:tcW w:type="dxa" w:w="467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Діагональне розташування блоків</w:t>
            </w:r>
          </w:p>
        </w:tc>
        <w:tc>
          <w:tcPr>
            <w:tcW w:type="dxa" w:w="467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Виконано на всіх діаграмах декомпозиції</w:t>
            </w:r>
          </w:p>
        </w:tc>
      </w:tr>
      <w:tr>
        <w:trPr>
          <w:cantSplit w:val="true"/>
        </w:trPr>
        <w:tc>
          <w:tcPr>
            <w:tcW w:type="dxa" w:w="467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Імена функцій — дієслова, стрілок — іменники</w:t>
            </w:r>
          </w:p>
        </w:tc>
        <w:tc>
          <w:tcPr>
            <w:tcW w:type="dxa" w:w="467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Виконано; імена унікальні</w:t>
            </w:r>
          </w:p>
        </w:tc>
      </w:tr>
      <w:tr>
        <w:trPr>
          <w:cantSplit w:val="true"/>
        </w:trPr>
        <w:tc>
          <w:tcPr>
            <w:tcW w:type="dxa" w:w="467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≥ 1 стрілка управління і ≥ 1 стрілка виходу в кожного блоку</w:t>
            </w:r>
          </w:p>
        </w:tc>
        <w:tc>
          <w:tcPr>
            <w:tcW w:type="dxa" w:w="467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Виконано для всіх 13 блоків</w:t>
            </w:r>
          </w:p>
        </w:tc>
      </w:tr>
      <w:tr>
        <w:trPr>
          <w:cantSplit w:val="true"/>
        </w:trPr>
        <w:tc>
          <w:tcPr>
            <w:tcW w:type="dxa" w:w="467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Узгодженість ICOM-кодів із батьківським блоком</w:t>
            </w:r>
          </w:p>
        </w:tc>
        <w:tc>
          <w:tcPr>
            <w:tcW w:type="dxa" w:w="467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Граничні стрілки A1, A2 мають коди стрілок блоків A1, A2 на А0</w:t>
            </w:r>
          </w:p>
        </w:tc>
      </w:tr>
      <w:tr>
        <w:trPr>
          <w:cantSplit w:val="true"/>
        </w:trPr>
        <w:tc>
          <w:tcPr>
            <w:tcW w:type="dxa" w:w="467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Об’єднання стрілок зі спільним джерелом</w:t>
            </w:r>
          </w:p>
        </w:tc>
        <w:tc>
          <w:tcPr>
            <w:tcW w:type="dxa" w:w="467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Розгалуження C1, C3, M1, M3 на А0; C1, M1, M2 на A1/A2</w:t>
            </w:r>
          </w:p>
        </w:tc>
      </w:tr>
      <w:tr>
        <w:trPr>
          <w:cantSplit w:val="true"/>
        </w:trPr>
        <w:tc>
          <w:tcPr>
            <w:tcW w:type="dxa" w:w="4677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Глибина моделі ≤ 5–6 рівнів</w:t>
            </w:r>
          </w:p>
        </w:tc>
        <w:tc>
          <w:tcPr>
            <w:tcW w:type="dxa" w:w="4677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рівні (А-0, А0, A1/A2) + IDEF3 для A3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pStyle w:val="140"/>
        <w:keepNext/>
        <w:pageBreakBefore/>
        <w:widowControl/>
        <w:spacing w:line="360" w:lineRule="auto" w:before="120" w:after="120"/>
        <w:ind w:firstLine="709" w:left="0"/>
        <w:jc w:val="left"/>
      </w:pPr>
      <w:bookmarkStart w:id="7" w:name="_Toc000007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 Створення діаграми дерева вузлів</w:t>
      </w:r>
      <w:bookmarkEnd w:id="7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Діаграма дерева вузлів (Diagram / Add Node Tree) відображає ієрархію робіт моделі без стрілок (рис. 3.5). Коренем дерева є контекстна робота А0, другий рівень утворюють роботи A1–A5, третій — роботи декомпозицій A1 та A2. Опцію Bullet Last Level вимкнено, тому останній рівень відображено прямокутниками, а не маркованим списком.</w:t>
      </w:r>
    </w:p>
    <w:p>
      <w:pPr>
        <w:sectPr>
          <w:footnotePr/>
          <w:endnotePr/>
          <w:pgSz w:h="16838" w:w="11906"/>
          <w:pgMar w:top="1134" w:right="850" w:bottom="1134" w:left="1701" w:header="709" w:footer="709" w:gutter="0"/>
          <w:cols w:num="1" w:sep="0" w:space="708" w:equalWidth="1"/>
        </w:sectPr>
      </w:pP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9252000" cy="494414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node_tre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252000" cy="4944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3.5 — Діаграма дерева вузлів моделі «Забезпечити перехоплення повітряних цілей»</w:t>
      </w:r>
    </w:p>
    <w:p>
      <w:pPr>
        <w:sectPr>
          <w:footnotePr/>
          <w:endnotePr/>
          <w:pgSz w:h="11906" w:w="16838" w:orient="landscape"/>
          <w:pgMar w:top="1701" w:right="1134" w:bottom="850" w:left="1134" w:header="709" w:footer="709" w:gutter="0"/>
          <w:cols w:num="1" w:sep="0" w:space="708" w:equalWidth="1"/>
        </w:sectPr>
      </w:pPr>
    </w:p>
    <w:p>
      <w:pPr>
        <w:pStyle w:val="140"/>
        <w:keepNext/>
        <w:pageBreakBefore/>
        <w:widowControl/>
        <w:spacing w:line="360" w:lineRule="auto" w:before="120" w:after="120"/>
        <w:ind w:firstLine="709" w:left="0"/>
        <w:jc w:val="left"/>
      </w:pPr>
      <w:bookmarkStart w:id="8" w:name="_Toc000008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 Створення FEO-діаграми</w:t>
      </w:r>
      <w:bookmarkEnd w:id="8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детального розгляду взаємодії роботи A3 «Виконати місію перехоплення» з іншими роботами створено FEO-діаграму (Diagram / Add FEO Diagram) на основі діаграми А0, на якій залишено лише стрілки роботи A3 (рис. 3.6). Номер діаграми має суфікс «F», а в полі назви зазначено призначення «тільки для експозиції»; діаграма декомпозиції А0 при цьому не змінюється.</w:t>
      </w:r>
    </w:p>
    <w:p>
      <w:pPr>
        <w:sectPr>
          <w:footnotePr/>
          <w:endnotePr/>
          <w:pgSz w:h="16838" w:w="11906"/>
          <w:pgMar w:top="1134" w:right="850" w:bottom="1134" w:left="1701" w:header="709" w:footer="709" w:gutter="0"/>
          <w:cols w:num="1" w:sep="0" w:space="708" w:equalWidth="1"/>
        </w:sectPr>
      </w:pP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9082800" cy="521922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feo_a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082800" cy="521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3.6 — FEO-діаграма A0F «Взаємодія роботи «Виконати місію перехоплення»»</w:t>
      </w:r>
    </w:p>
    <w:p>
      <w:pPr>
        <w:sectPr>
          <w:footnotePr/>
          <w:endnotePr/>
          <w:pgSz w:h="11906" w:w="16838" w:orient="landscape"/>
          <w:pgMar w:top="1701" w:right="1134" w:bottom="850" w:left="1134" w:header="709" w:footer="709" w:gutter="0"/>
          <w:cols w:num="1" w:sep="0" w:space="708" w:equalWidth="1"/>
        </w:sectPr>
      </w:pPr>
    </w:p>
    <w:p>
      <w:pPr>
        <w:pStyle w:val="140"/>
        <w:keepNext/>
        <w:pageBreakBefore/>
        <w:widowControl/>
        <w:spacing w:line="360" w:lineRule="auto" w:before="120" w:after="120"/>
        <w:ind w:firstLine="709" w:left="0"/>
        <w:jc w:val="left"/>
      </w:pPr>
      <w:bookmarkStart w:id="9" w:name="_Toc000009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 Розділення та злиття моделей</w:t>
      </w:r>
      <w:bookmarkEnd w:id="9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розділення моделі на діаграмі А0 обрано роботу A3 і виконано команду Split Model з іменем нової моделі «Виконання місії перехоплення». У результаті в Model Explorer з’являється окрема модель, а на діаграмі А0 біля роботи A3 — стрілка виклику, спрямована вниз (рис. 3.7). Контекстна діаграма нової моделі містить роботу «Виконати місію перехоплення» з тими самими граничними стрілками, що й робота A3 (рис. 3.8).</w:t>
      </w:r>
    </w:p>
    <w:p>
      <w:pPr>
        <w:sectPr>
          <w:footnotePr/>
          <w:endnotePr/>
          <w:pgSz w:h="16838" w:w="11906"/>
          <w:pgMar w:top="1134" w:right="850" w:bottom="1134" w:left="1701" w:header="709" w:footer="709" w:gutter="0"/>
          <w:cols w:num="1" w:sep="0" w:space="708" w:equalWidth="1"/>
        </w:sectPr>
      </w:pP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9082800" cy="521922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plit_a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082800" cy="521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3.7 — Діаграма А0 після розділення моделі (стрілка виклику роботи A3)</w:t>
      </w:r>
    </w:p>
    <w:p>
      <w:pPr>
        <w:sectPr>
          <w:footnotePr/>
          <w:endnotePr/>
          <w:pgSz w:h="11906" w:w="16838" w:orient="landscape"/>
          <w:pgMar w:top="1701" w:right="1134" w:bottom="850" w:left="1134" w:header="709" w:footer="709" w:gutter="0"/>
          <w:cols w:num="1" w:sep="0" w:space="708" w:equalWidth="1"/>
        </w:sectPr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відокремленій моделі створено нову стрілку виходу «Телеметрія місії» (аналог стрілки «Відходи» з методичних вказівок). Для злиття моделей на діаграмі А0 вихідної моделі для роботи A3 виконано команду Merge Model з увімкненою опцією Cut / Paste entire dictionaries: дві моделі об’єдналися, словники робіт і стрілок злито, стрілка виклику зникла, а нова стрілка «Телеметрія місії» з’явилася на діаграмі А0 як гранична стрілка виходу роботи A3 у тунелі, яку за потреби дозволяють як граничну (Resolve it to Border Arrow).</w:t>
      </w:r>
    </w:p>
    <w:p>
      <w:pPr>
        <w:sectPr>
          <w:footnotePr/>
          <w:endnotePr/>
          <w:pgSz w:h="16838" w:w="11906"/>
          <w:pgMar w:top="1134" w:right="850" w:bottom="1134" w:left="1701" w:header="709" w:footer="709" w:gutter="0"/>
          <w:cols w:num="1" w:sep="0" w:space="708" w:equalWidth="1"/>
        </w:sectPr>
      </w:pP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9252000" cy="43854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plit_mode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252000" cy="4385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3.8 — Контекстна діаграма відокремленої моделі «Виконання місії перехоплення»</w:t>
      </w:r>
    </w:p>
    <w:p>
      <w:pPr>
        <w:sectPr>
          <w:footnotePr/>
          <w:endnotePr/>
          <w:pgSz w:h="11906" w:w="16838" w:orient="landscape"/>
          <w:pgMar w:top="1701" w:right="1134" w:bottom="850" w:left="1134" w:header="709" w:footer="709" w:gutter="0"/>
          <w:cols w:num="1" w:sep="0" w:space="708" w:equalWidth="1"/>
        </w:sectPr>
      </w:pPr>
    </w:p>
    <w:p>
      <w:pPr>
        <w:pStyle w:val="140"/>
        <w:keepNext/>
        <w:pageBreakBefore/>
        <w:widowControl/>
        <w:spacing w:line="360" w:lineRule="auto" w:before="120" w:after="120"/>
        <w:ind w:firstLine="709" w:left="0"/>
        <w:jc w:val="left"/>
      </w:pPr>
      <w:bookmarkStart w:id="10" w:name="_Toc000010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 Створення діаграми IDEF3</w:t>
      </w:r>
      <w:bookmarkEnd w:id="10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Роботу A3 «Виконати місію перехоплення» декомпоновано в нотації IDEF3 (рис. 3.9), оскільки для неї важлива послідовність дій і паралелізм. Діаграма містить п’ять одиниць роботи, три перехрестя та два об’єкти посилання. Перехрестя J1 (виключне «або», X) розгалужує процес на прийняття або відмову, J2 (асинхронне «і», &amp;) запускає паралельну підготовку маршруту та передпольотний контроль, J3 (асинхронне «і») очікує завершення обох гілок перед пуском. Об’єкти посилання «Бойове завдання» і «Перехоплювач» пов’язано з відповідними роботами. Властивості одиниць роботи (вкладка UOW вікна Activity Properties) наведено в табл. 3.6, перехрестя — у табл. 3.7.</w:t>
      </w:r>
    </w:p>
    <w:p>
      <w:pPr>
        <w:keepNext/>
        <w:pageBreakBefore w:val="0"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3.6 — Властивості одиниць роботи (UOW)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  <w:cantSplit w:val="true"/>
        </w:trPr>
        <w:tc>
          <w:tcPr>
            <w:tcW w:type="dxa" w:w="4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№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Одиниця роботи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Objects (об’єкти)</w:t>
            </w:r>
          </w:p>
        </w:tc>
        <w:tc>
          <w:tcPr>
            <w:tcW w:type="dxa" w:w="222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Facts (факти)</w:t>
            </w:r>
          </w:p>
        </w:tc>
        <w:tc>
          <w:tcPr>
            <w:tcW w:type="dxa" w:w="245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Constraints (обмеження)</w:t>
            </w:r>
          </w:p>
        </w:tc>
      </w:tr>
      <w:tr>
        <w:trPr>
          <w:cantSplit w:val="true"/>
        </w:trPr>
        <w:tc>
          <w:tcPr>
            <w:tcW w:type="dxa" w:w="4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Оцінити бойове завдання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Бойове завдання, трек цілі</w:t>
            </w:r>
          </w:p>
        </w:tc>
        <w:tc>
          <w:tcPr>
            <w:tcW w:type="dxa" w:w="222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Стан розрахунку, погода, заряд АКБ</w:t>
            </w:r>
          </w:p>
        </w:tc>
        <w:tc>
          <w:tcPr>
            <w:tcW w:type="dxa" w:w="245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Рішення протягом 15 с після отримання завдання</w:t>
            </w:r>
          </w:p>
        </w:tc>
      </w:tr>
      <w:tr>
        <w:trPr>
          <w:cantSplit w:val="true"/>
        </w:trPr>
        <w:tc>
          <w:tcPr>
            <w:tcW w:type="dxa" w:w="4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Надіслати відмову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Повідомлення про відмову</w:t>
            </w:r>
          </w:p>
        </w:tc>
        <w:tc>
          <w:tcPr>
            <w:tcW w:type="dxa" w:w="222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Причина відмови</w:t>
            </w:r>
          </w:p>
        </w:tc>
        <w:tc>
          <w:tcPr>
            <w:tcW w:type="dxa" w:w="245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Відмова фіксується в журналі</w:t>
            </w:r>
          </w:p>
        </w:tc>
      </w:tr>
      <w:tr>
        <w:trPr>
          <w:cantSplit w:val="true"/>
        </w:trPr>
        <w:tc>
          <w:tcPr>
            <w:tcW w:type="dxa" w:w="4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Підготувати маршрут і канал керування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Маршрут, канал зв’язку</w:t>
            </w:r>
          </w:p>
        </w:tc>
        <w:tc>
          <w:tcPr>
            <w:tcW w:type="dxa" w:w="222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Прогнозна точка перехоплення</w:t>
            </w:r>
          </w:p>
        </w:tc>
        <w:tc>
          <w:tcPr>
            <w:tcW w:type="dxa" w:w="245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Маршрут поза зонами заборони</w:t>
            </w:r>
          </w:p>
        </w:tc>
      </w:tr>
      <w:tr>
        <w:trPr>
          <w:cantSplit w:val="true"/>
        </w:trPr>
        <w:tc>
          <w:tcPr>
            <w:tcW w:type="dxa" w:w="46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Виконати передпольотний контроль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Перехоплювач, АКБ</w:t>
            </w:r>
          </w:p>
        </w:tc>
        <w:tc>
          <w:tcPr>
            <w:tcW w:type="dxa" w:w="222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Чек-лист передпольотного контролю</w:t>
            </w:r>
          </w:p>
        </w:tc>
        <w:tc>
          <w:tcPr>
            <w:tcW w:type="dxa" w:w="245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Заряд АКБ не нижче порогу</w:t>
            </w:r>
          </w:p>
        </w:tc>
      </w:tr>
      <w:tr>
        <w:trPr>
          <w:cantSplit w:val="true"/>
        </w:trPr>
        <w:tc>
          <w:tcPr>
            <w:tcW w:type="dxa" w:w="46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210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Здійснити пуск і супровід цілі</w:t>
            </w:r>
          </w:p>
        </w:tc>
        <w:tc>
          <w:tcPr>
            <w:tcW w:type="dxa" w:w="210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Перехоплювач, телеметрія</w:t>
            </w:r>
          </w:p>
        </w:tc>
        <w:tc>
          <w:tcPr>
            <w:tcW w:type="dxa" w:w="2222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Оновлення треку не рідше 1 Гц</w:t>
            </w:r>
          </w:p>
        </w:tc>
        <w:tc>
          <w:tcPr>
            <w:tcW w:type="dxa" w:w="2456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Підтвердження цілі оператором перед наведенням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keepNext/>
        <w:pageBreakBefore w:val="0"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3.7 — Перехрестя діаграми IDEF3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type="dxa" w:w="140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Перехрестя</w:t>
            </w:r>
          </w:p>
        </w:tc>
        <w:tc>
          <w:tcPr>
            <w:tcW w:type="dxa" w:w="30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491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Призначення</w:t>
            </w:r>
          </w:p>
        </w:tc>
      </w:tr>
      <w:tr>
        <w:trPr>
          <w:cantSplit w:val="true"/>
        </w:trPr>
        <w:tc>
          <w:tcPr>
            <w:tcW w:type="dxa" w:w="140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J1</w:t>
            </w:r>
          </w:p>
        </w:tc>
        <w:tc>
          <w:tcPr>
            <w:tcW w:type="dxa" w:w="30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Виключна диз’юнкція (X)</w:t>
            </w:r>
          </w:p>
        </w:tc>
        <w:tc>
          <w:tcPr>
            <w:tcW w:type="dxa" w:w="491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Розгалуження: прийняття завдання або відмова (fan-out)</w:t>
            </w:r>
          </w:p>
        </w:tc>
      </w:tr>
      <w:tr>
        <w:trPr>
          <w:cantSplit w:val="true"/>
        </w:trPr>
        <w:tc>
          <w:tcPr>
            <w:tcW w:type="dxa" w:w="140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J2</w:t>
            </w:r>
          </w:p>
        </w:tc>
        <w:tc>
          <w:tcPr>
            <w:tcW w:type="dxa" w:w="30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Асинхронна кон’юнкція (&amp;)</w:t>
            </w:r>
          </w:p>
        </w:tc>
        <w:tc>
          <w:tcPr>
            <w:tcW w:type="dxa" w:w="491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Розгалуження на паралельну підготовку маршруту і передпольотний контроль (fan-out)</w:t>
            </w:r>
          </w:p>
        </w:tc>
      </w:tr>
      <w:tr>
        <w:trPr>
          <w:cantSplit w:val="true"/>
        </w:trPr>
        <w:tc>
          <w:tcPr>
            <w:tcW w:type="dxa" w:w="1403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J3</w:t>
            </w:r>
          </w:p>
        </w:tc>
        <w:tc>
          <w:tcPr>
            <w:tcW w:type="dxa" w:w="3040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Асинхронна кон’юнкція (&amp;)</w:t>
            </w:r>
          </w:p>
        </w:tc>
        <w:tc>
          <w:tcPr>
            <w:tcW w:type="dxa" w:w="4911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Злиття: пуск лише після завершення обох гілок підготовки (fan-in)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sectPr>
          <w:footnotePr/>
          <w:endnotePr/>
          <w:pgSz w:h="16838" w:w="11906"/>
          <w:pgMar w:top="1134" w:right="850" w:bottom="1134" w:left="1701" w:header="709" w:footer="709" w:gutter="0"/>
          <w:cols w:num="1" w:sep="0" w:space="708" w:equalWidth="1"/>
        </w:sectPr>
      </w:pP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9252000" cy="41588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idef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252000" cy="4158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3.9 — Діаграма IDEF3 декомпозиції роботи A3 «Виконати місію перехоплення»</w:t>
      </w:r>
    </w:p>
    <w:p>
      <w:pPr>
        <w:sectPr>
          <w:footnotePr/>
          <w:endnotePr/>
          <w:pgSz w:h="11906" w:w="16838" w:orient="landscape"/>
          <w:pgMar w:top="1701" w:right="1134" w:bottom="850" w:left="1134" w:header="709" w:footer="709" w:gutter="0"/>
          <w:cols w:num="1" w:sep="0" w:space="708" w:equalWidth="1"/>
        </w:sectPr>
      </w:pPr>
    </w:p>
    <w:p>
      <w:pPr>
        <w:pStyle w:val="140"/>
        <w:keepNext/>
        <w:pageBreakBefore/>
        <w:widowControl/>
        <w:spacing w:line="360" w:lineRule="auto" w:before="120" w:after="120"/>
        <w:ind w:firstLine="709" w:left="0"/>
        <w:jc w:val="left"/>
      </w:pPr>
      <w:bookmarkStart w:id="11" w:name="_Toc000011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 Створення діаграми сценарію</w:t>
      </w:r>
      <w:bookmarkEnd w:id="11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основі діаграми IDEF3 створено діаграму сценарію «Штатне виконання місії» (Diagram / Add IDEF3 Scenario), з якої видалено елементи, що не входять до сценарію: одиницю роботи «Надіслати відмову» та перехрестя J1 (рис. 3.10). Сценарій описує випадок, коли розрахунок приймає завдання, паралельно готує маршрут і перехоплювач та здійснює пуск і супровід цілі.</w:t>
      </w:r>
    </w:p>
    <w:p>
      <w:pPr>
        <w:sectPr>
          <w:footnotePr/>
          <w:endnotePr/>
          <w:pgSz w:h="16838" w:w="11906"/>
          <w:pgMar w:top="1134" w:right="850" w:bottom="1134" w:left="1701" w:header="709" w:footer="709" w:gutter="0"/>
          <w:cols w:num="1" w:sep="0" w:space="708" w:equalWidth="1"/>
        </w:sectPr>
      </w:pP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9252000" cy="41588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cenari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252000" cy="4158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3.10 — Діаграма сценарію «Штатне виконання місії»</w:t>
      </w:r>
    </w:p>
    <w:p>
      <w:pPr>
        <w:sectPr>
          <w:footnotePr/>
          <w:endnotePr/>
          <w:pgSz w:h="11906" w:w="16838" w:orient="landscape"/>
          <w:pgMar w:top="1701" w:right="1134" w:bottom="850" w:left="1134" w:header="709" w:footer="709" w:gutter="0"/>
          <w:cols w:num="1" w:sep="0" w:space="708" w:equalWidth="1"/>
        </w:sectPr>
      </w:pPr>
    </w:p>
    <w:p>
      <w:pPr>
        <w:pStyle w:val="139"/>
        <w:keepNext/>
        <w:pageBreakBefore w:val="0"/>
        <w:widowControl/>
        <w:spacing w:line="360" w:lineRule="auto" w:before="240" w:after="240"/>
        <w:ind w:firstLine="0" w:left="0"/>
        <w:jc w:val="center"/>
      </w:pPr>
      <w:bookmarkStart w:id="12" w:name="_Toc000012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ГРАФІЧНА ЧАСТИНА</w:t>
      </w:r>
      <w:bookmarkEnd w:id="12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Діаграми розміщено у відповідних підрозділах ходу виконання роботи. Перелік графічних матеріалів: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рис. 3.1 — контекстна діаграма А-0;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рис. 3.2, 3.3, 3.4 — діаграми декомпозиції А0, A1, A2;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рис. 3.5 — діаграма дерева вузлів;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рис. 3.6 — FEO-діаграма взаємодії роботи A3;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рис. 3.7, 3.8 — розділення моделі: стрілка виклику та відокремлена модель;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рис. 3.9 — діаграма IDEF3 роботи A3;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рис. 3.10 — діаграма сценарію.</w:t>
      </w:r>
    </w:p>
    <w:p>
      <w:pPr>
        <w:pStyle w:val="139"/>
        <w:keepNext/>
        <w:pageBreakBefore/>
        <w:widowControl/>
        <w:spacing w:line="360" w:lineRule="auto" w:before="240" w:after="240"/>
        <w:ind w:firstLine="0" w:left="0"/>
        <w:jc w:val="center"/>
      </w:pPr>
      <w:bookmarkStart w:id="13" w:name="_Toc000013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ВИСНОВКИ</w:t>
      </w:r>
      <w:bookmarkEnd w:id="13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лабораторній роботі побудовано функціональну модель діяльності умовного РЦПДО «Щит-Північ» у нотаціях IDEF0 та IDEF3. Контекстна діаграма визначає межі системи: 2 входи, 3 управління, 4 виходи та 4 механізми, а також мету моделювання й точку зору оперативного чергового.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Декомпозиція містить три діаграми: А0 (5 робіт, що відповідають пулам BPMN з ЛР2) та A1, A2 (по 4 роботи). На діаграмах використано зв’язки «вихід — вхід», «вихід — управління», зворотні зв’язки, розгалуження і тунельовані стрілки; виконання правил IDEF0 підтверджено табл. 3.5. Сформовано звіт за моделлю зі словниками робіт (14 робіт) і стрілок.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Побудовано діаграму дерева вузлів на три рівні, FEO-діаграму для аналізу взаємодії роботи «Виконати місію перехоплення», виконано розділення моделі зі стрілкою виклику та злиття моделей. Діаграма IDEF3 описує послідовність і паралелізм виконання місії за допомогою п’яти одиниць роботи, трьох перехресть і двох об’єктів посилання, а діаграма сценарію — штатний варіант її виконання. Отримана модель є основою для об’єктно-орієнтованого проєктування платформи «Щит-Лінк» засобами UML.</w:t>
      </w:r>
    </w:p>
    <w:p>
      <w:pPr>
        <w:pStyle w:val="139"/>
        <w:keepNext/>
        <w:pageBreakBefore/>
        <w:widowControl/>
        <w:spacing w:line="360" w:lineRule="auto" w:before="240" w:after="240"/>
        <w:ind w:firstLine="0" w:left="0"/>
        <w:jc w:val="center"/>
      </w:pPr>
      <w:bookmarkStart w:id="14" w:name="_Toc000014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СПИСОК ВИКОРИСТАНИХ ДЖЕРЕЛ</w:t>
      </w:r>
      <w:bookmarkEnd w:id="14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1) Гладка М. В. Проєктування інформаційних систем : конспект лекцій (лекції 4–5 «Нотація IDEF0», «Нотації IDEF3, DFD»). Київ : КНУ імені Тараса Шевченка, 2026.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2) FIPS PUB 183. Integration Definition for Function Modeling (IDEF0). NIST, 1993.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3) Mayer R. J. et al. Information Integration for Concurrent Engineering (IICE) IDEF3 Process Description Capture Method Report. Knowledge Based Systems, Inc., 1995.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4) Коваленко О. С., Добровська Л. М. Проектування інформаційних систем: загальні питання теорії проектування ІС : конспект лекцій. Київ : КПІ ім. Ігоря Сікорського, 2020. 192 с.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5) ДСТУ 3008:2015. Інформація та документація. Звіти у сфері науки і техніки. Структура та правила оформлювання.</w:t>
      </w:r>
    </w:p>
    <w:sectPr>
      <w:footnotePr/>
      <w:endnotePr/>
      <w:pgSz w:h="16838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widowControl/>
      <w:spacing w:line="240" w:lineRule="auto" w:before="0" w:after="0"/>
      <w:ind w:firstLine="0" w:left="0"/>
      <w:jc w:val="center"/>
    </w:pPr>
    <w:r>
      <w:rPr>
        <w:rFonts w:ascii="Times New Roman" w:hAnsi="Times New Roman" w:cs="Times New Roman" w:eastAsia="Times New Roman"/>
        <w:color w:val="000000"/>
        <w:sz w:val="24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Times New Roman" w:hAnsi="Times New Roman" w:cs="Times New Roman" w:eastAsia="Times New Roman"/>
      <w:b/>
      <w:color w:val="000000"/>
      <w:sz w:val="28"/>
      <w:szCs w:val="28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Times New Roman" w:hAnsi="Times New Roman" w:cs="Times New Roman" w:eastAsia="Times New Roman"/>
      <w:b/>
      <w:color w:val="000000"/>
      <w:sz w:val="28"/>
      <w:szCs w:val="28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Times New Roman" w:hAnsi="Times New Roman" w:cs="Times New Roman" w:eastAsia="Times New Roman"/>
      <w:b/>
      <w:color w:val="000000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  <w:rPr>
      <w:rFonts w:ascii="Times New Roman" w:hAnsi="Times New Roman" w:cs="Times New Roman" w:eastAsia="Times New Roman"/>
      <w:color w:val="000000"/>
      <w:sz w:val="28"/>
      <w:szCs w:val="28"/>
    </w:r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  <w:rPr>
      <w:rFonts w:ascii="Times New Roman" w:hAnsi="Times New Roman" w:cs="Times New Roman" w:eastAsia="Times New Roman"/>
      <w:color w:val="000000"/>
      <w:sz w:val="28"/>
      <w:szCs w:val="28"/>
    </w:r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footer" Target="footer1.xml"/><Relationship Id="rId9" Type="http://schemas.openxmlformats.org/officeDocument/2006/relationships/header" Target="head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header" Target="header2.xml"/><Relationship Id="rId13" Type="http://schemas.openxmlformats.org/officeDocument/2006/relationships/header" Target="header3.xm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Петро Кравченко</dc:creator>
  <cp:revision>1</cp:revision>
  <dcterms:modified xsi:type="dcterms:W3CDTF">2026-10-03T10:31:14Z</dcterms:modified>
  <dc:title>Лабораторна робота №3. Опанування CASE-засобів моделювання систем. Створення функціональної моделі в нотаціях IDEF0 та IDEF3</dc:title>
  <dc:subject>Проєктування інформаційних систем</dc:subject>
  <dc:language>uk-UA</dc:language>
</cp:coreProperties>
</file>