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119ED9">
      <w:pPr>
        <w:pBdr/>
        <w:spacing/>
        <w:ind w:firstLine="709"/>
        <w:jc w:val="center"/>
        <w:rPr>
          <w:rFonts w:ascii="Times New Roman" w:hAnsi="Times New Roman" w:cs="Times New Roman"/>
          <w:sz w:val="28"/>
          <w:szCs w:val="28"/>
        </w:rPr>
      </w:pPr>
      <w:r>
        <w:rPr>
          <w:rFonts w:ascii="Times New Roman" w:hAnsi="Times New Roman" w:eastAsia="Times New Roman" w:cs="Times New Roman"/>
          <w:sz w:val="28"/>
          <w:szCs w:val="28"/>
        </w:rPr>
        <w:t xml:space="preserve">МІНІСТЕРСТВО ОСВІТИ I НАУКИ УКРАЇНИ</w:t>
      </w:r>
      <w:r>
        <w:rPr>
          <w:rFonts w:ascii="Times New Roman" w:hAnsi="Times New Roman" w:cs="Times New Roman"/>
          <w:sz w:val="28"/>
          <w:szCs w:val="28"/>
        </w:rPr>
      </w:r>
      <w:r>
        <w:rPr>
          <w:rFonts w:ascii="Times New Roman" w:hAnsi="Times New Roman" w:cs="Times New Roman"/>
          <w:sz w:val="28"/>
          <w:szCs w:val="28"/>
        </w:rPr>
      </w:r>
    </w:p>
    <w:p w14:paraId="5324A9C7">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КИЇВСЬКИЙ НАЦІОНАЛЬНИЙ УНІВЕРСИТЕТ ІМЕНІ ТАРАСА ШЕВЧЕНКА</w:t>
      </w:r>
      <w:r>
        <w:rPr>
          <w:rFonts w:ascii="Times New Roman" w:hAnsi="Times New Roman" w:cs="Times New Roman"/>
          <w:sz w:val="28"/>
          <w:szCs w:val="28"/>
        </w:rPr>
      </w:r>
      <w:r>
        <w:rPr>
          <w:rFonts w:ascii="Times New Roman" w:hAnsi="Times New Roman" w:cs="Times New Roman"/>
          <w:sz w:val="28"/>
          <w:szCs w:val="28"/>
        </w:rPr>
      </w:r>
    </w:p>
    <w:p w14:paraId="660A397E">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ФАКУЛЬТЕТ ІНФОРМАЦІЙНИХ ТЕХНОЛОГІЙ</w:t>
      </w:r>
      <w:r>
        <w:rPr>
          <w:rFonts w:ascii="Times New Roman" w:hAnsi="Times New Roman" w:cs="Times New Roman"/>
          <w:sz w:val="28"/>
          <w:szCs w:val="28"/>
        </w:rPr>
      </w:r>
      <w:r>
        <w:rPr>
          <w:rFonts w:ascii="Times New Roman" w:hAnsi="Times New Roman" w:cs="Times New Roman"/>
          <w:sz w:val="28"/>
          <w:szCs w:val="28"/>
        </w:rPr>
      </w:r>
    </w:p>
    <w:p w14:paraId="12AA494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КАФЕДРА ІНФОРМАЦІЙНИХ СИСТЕМ ТА ТЕХНОЛОГІЙ</w:t>
      </w:r>
      <w:r>
        <w:rPr>
          <w:rFonts w:ascii="Times New Roman" w:hAnsi="Times New Roman" w:cs="Times New Roman"/>
          <w:sz w:val="28"/>
          <w:szCs w:val="28"/>
        </w:rPr>
      </w:r>
      <w:r>
        <w:rPr>
          <w:rFonts w:ascii="Times New Roman" w:hAnsi="Times New Roman" w:cs="Times New Roman"/>
          <w:sz w:val="28"/>
          <w:szCs w:val="28"/>
        </w:rPr>
      </w:r>
    </w:p>
    <w:p w14:paraId="32FFBB8C">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t xml:space="preserve">  </w:t>
      </w:r>
      <w:r>
        <w:rPr>
          <w:rFonts w:ascii="Times New Roman" w:hAnsi="Times New Roman" w:cs="Times New Roman"/>
          <w:sz w:val="28"/>
          <w:szCs w:val="28"/>
        </w:rPr>
      </w:r>
      <w:r>
        <w:rPr>
          <w:rFonts w:ascii="Times New Roman" w:hAnsi="Times New Roman" w:cs="Times New Roman"/>
          <w:sz w:val="28"/>
          <w:szCs w:val="28"/>
        </w:rPr>
      </w:r>
    </w:p>
    <w:p w14:paraId="0D8A9E5B">
      <w:pPr>
        <w:pBdr/>
        <w:spacing/>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Лабораторна робота № </w:t>
      </w:r>
      <w:r>
        <w:rPr>
          <w:rFonts w:ascii="Times New Roman" w:hAnsi="Times New Roman" w:cs="Times New Roman"/>
          <w:b/>
          <w:sz w:val="28"/>
          <w:szCs w:val="28"/>
        </w:rPr>
        <w:t>1</w:t>
      </w:r>
      <w:r>
        <w:rPr>
          <w:rFonts w:ascii="Times New Roman" w:hAnsi="Times New Roman" w:cs="Times New Roman"/>
          <w:sz w:val="28"/>
          <w:szCs w:val="28"/>
        </w:rPr>
      </w:r>
    </w:p>
    <w:p w14:paraId="19E07F4D">
      <w:pPr>
        <w:pBdr/>
        <w:spacing/>
        <w:ind/>
        <w:jc w:val="center"/>
        <w:rPr>
          <w:rFonts w:ascii="Times New Roman" w:hAnsi="Times New Roman" w:cs="Times New Roman"/>
        </w:rPr>
      </w:pPr>
      <w:r>
        <w:rPr>
          <w:rFonts w:ascii="Times New Roman" w:hAnsi="Times New Roman" w:eastAsia="Times New Roman" w:cs="Times New Roman"/>
          <w:sz w:val="28"/>
          <w:szCs w:val="28"/>
        </w:rPr>
        <w:t xml:space="preserve">з дисципліни </w:t>
      </w:r>
      <w:r>
        <w:rPr>
          <w:rFonts w:ascii="Times New Roman" w:hAnsi="Times New Roman" w:eastAsia="Times New Roman" w:cs="Times New Roman"/>
          <w:b/>
          <w:bCs/>
          <w:sz w:val="28"/>
          <w:szCs w:val="28"/>
        </w:rPr>
        <w:t xml:space="preserve">«</w:t>
      </w:r>
      <w:r>
        <w:rPr>
          <w:rFonts w:ascii="Times New Roman" w:hAnsi="Times New Roman" w:eastAsia="Times New Roman" w:cs="Times New Roman"/>
          <w:b/>
          <w:sz w:val="28"/>
        </w:rPr>
      </w:r>
      <w:r>
        <w:rPr>
          <w:rFonts w:ascii="Times New Roman" w:hAnsi="Times New Roman" w:eastAsia="Times New Roman" w:cs="Times New Roman"/>
          <w:b/>
          <w:sz w:val="28"/>
        </w:rPr>
        <w:t xml:space="preserve">Проєктування інформаційних систем</w:t>
      </w:r>
      <w:r>
        <w:rPr>
          <w:rFonts w:ascii="Times New Roman" w:hAnsi="Times New Roman" w:eastAsia="Times New Roman" w:cs="Times New Roman"/>
          <w:b/>
          <w:sz w:val="28"/>
        </w:rPr>
      </w:r>
      <w:r>
        <w:rPr>
          <w:rFonts w:ascii="Times New Roman" w:hAnsi="Times New Roman" w:eastAsia="Times New Roman" w:cs="Times New Roman"/>
          <w:b/>
          <w:bCs/>
          <w:sz w:val="28"/>
          <w:szCs w:val="28"/>
        </w:rPr>
        <w:t xml:space="preserve">»</w:t>
      </w:r>
      <w:r>
        <w:rPr>
          <w:rFonts w:ascii="Times New Roman" w:hAnsi="Times New Roman" w:cs="Times New Roman"/>
        </w:rPr>
      </w:r>
      <w:r>
        <w:rPr>
          <w:rFonts w:ascii="Times New Roman" w:hAnsi="Times New Roman" w:cs="Times New Roman"/>
        </w:rPr>
      </w:r>
    </w:p>
    <w:p w14:paraId="1B905C1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r>
      <w:r>
        <w:rPr>
          <w:rFonts w:ascii="Times New Roman" w:hAnsi="Times New Roman" w:cs="Times New Roman"/>
          <w:sz w:val="28"/>
          <w:szCs w:val="28"/>
        </w:rPr>
      </w:r>
      <w:r>
        <w:rPr>
          <w:rFonts w:ascii="Times New Roman" w:hAnsi="Times New Roman" w:cs="Times New Roman"/>
          <w:sz w:val="28"/>
          <w:szCs w:val="28"/>
        </w:rPr>
      </w:r>
    </w:p>
    <w:p w14:paraId="7C1C88FC">
      <w:pPr>
        <w:pBdr/>
        <w:spacing/>
        <w:ind/>
        <w:jc w:val="center"/>
        <w:rPr>
          <w:sz w:val="28"/>
          <w:szCs w:val="28"/>
        </w:rPr>
      </w:pPr>
      <w:r>
        <w:rPr>
          <w:rFonts w:ascii="Times New Roman" w:hAnsi="Times New Roman" w:eastAsia="Times New Roman" w:cs="Times New Roman"/>
          <w:sz w:val="28"/>
          <w:szCs w:val="28"/>
        </w:rPr>
        <w:t xml:space="preserve">Тема: «</w:t>
      </w:r>
      <w:r>
        <w:rPr>
          <w:rFonts w:ascii="Times New Roman" w:hAnsi="Times New Roman" w:eastAsia="Times New Roman" w:cs="Times New Roman"/>
          <w:sz w:val="28"/>
          <w:szCs w:val="28"/>
        </w:rPr>
        <w:t>Вибір об’єкту дослідження. Формулювання задач, які потребують автоматизації. Побудова дерева цілей автоматизованої системи. Проведення WBS-аналізу</w:t>
      </w:r>
      <w:r>
        <w:rPr>
          <w:rFonts w:ascii="Times New Roman" w:hAnsi="Times New Roman" w:eastAsia="Times New Roman" w:cs="Times New Roman"/>
          <w:b/>
          <w:bCs/>
          <w:sz w:val="28"/>
          <w:szCs w:val="28"/>
        </w:rPr>
        <w:t xml:space="preserve">»</w:t>
      </w:r>
      <w:r>
        <w:rPr>
          <w:rFonts w:ascii="Times New Roman" w:hAnsi="Times New Roman" w:eastAsia="Times New Roman" w:cs="Times New Roman"/>
          <w:sz w:val="28"/>
          <w:szCs w:val="28"/>
        </w:rPr>
        <w:br/>
      </w:r>
      <w:r>
        <w:rPr>
          <w:rFonts w:ascii="Times New Roman" w:hAnsi="Times New Roman" w:eastAsia="Times New Roman" w:cs="Times New Roman"/>
          <w:sz w:val="28"/>
          <w:szCs w:val="28"/>
        </w:rPr>
        <w:t xml:space="preserve"> </w:t>
      </w:r>
      <w:r>
        <w:rPr>
          <w:sz w:val="28"/>
          <w:szCs w:val="28"/>
        </w:rPr>
      </w:r>
      <w:r>
        <w:rPr>
          <w:sz w:val="28"/>
          <w:szCs w:val="28"/>
        </w:rPr>
      </w:r>
    </w:p>
    <w:p w14:paraId="6F222511">
      <w:pPr>
        <w:pBdr/>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18929217">
      <w:pPr>
        <w:pBdr/>
        <w:spacing/>
        <w:ind/>
        <w:jc w:val="center"/>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14:paraId="1CB31CD6">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Виконав: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CB43C91">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студент гр. ІР-31  </w:t>
      </w:r>
      <w:r>
        <w:rPr>
          <w:rFonts w:ascii="Times New Roman" w:hAnsi="Times New Roman" w:cs="Times New Roman"/>
          <w:sz w:val="28"/>
          <w:szCs w:val="28"/>
        </w:rPr>
      </w:r>
      <w:r>
        <w:rPr>
          <w:rFonts w:ascii="Times New Roman" w:hAnsi="Times New Roman" w:cs="Times New Roman"/>
          <w:sz w:val="28"/>
          <w:szCs w:val="28"/>
        </w:rPr>
      </w:r>
    </w:p>
    <w:p w14:paraId="6684BA6D">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Петро Кравченко</w:t>
      </w:r>
      <w:r>
        <w:rPr>
          <w:rFonts w:ascii="Times New Roman" w:hAnsi="Times New Roman" w:cs="Times New Roman"/>
          <w:sz w:val="28"/>
          <w:szCs w:val="28"/>
        </w:rPr>
      </w:r>
      <w:r>
        <w:rPr>
          <w:rFonts w:ascii="Times New Roman" w:hAnsi="Times New Roman" w:cs="Times New Roman"/>
          <w:sz w:val="28"/>
          <w:szCs w:val="28"/>
        </w:rPr>
      </w:r>
    </w:p>
    <w:p w14:paraId="6FC4C0C2">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Перевірив: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BA42A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t xml:space="preserve">Зараховано від  </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lang w:val="uk-UA"/>
        </w:rPr>
      </w:r>
      <w:r>
        <w:rPr>
          <w:rFonts w:ascii="Times New Roman" w:hAnsi="Times New Roman" w:eastAsia="Times New Roman" w:cs="Times New Roman"/>
          <w:sz w:val="28"/>
          <w:szCs w:val="28"/>
          <w:lang w:val="uk-UA"/>
        </w:rPr>
      </w:r>
      <w:r>
        <w:rPr>
          <w:rFonts w:ascii="Times New Roman" w:hAnsi="Times New Roman" w:cs="Times New Roman"/>
          <w:sz w:val="28"/>
          <w:szCs w:val="28"/>
        </w:rPr>
      </w:r>
    </w:p>
    <w:p w14:paraId="7259EC8F">
      <w:pPr>
        <w:pBdr/>
        <w:spacing/>
        <w:ind/>
        <w:jc w:val="right"/>
        <w:rPr>
          <w:rFonts w:ascii="Times New Roman" w:hAnsi="Times New Roman" w:cs="Times New Roman"/>
          <w:sz w:val="28"/>
          <w:szCs w:val="28"/>
        </w:rPr>
      </w:pPr>
      <w:r>
        <w:rPr>
          <w:rFonts w:ascii="Times New Roman" w:hAnsi="Times New Roman" w:eastAsia="Times New Roman" w:cs="Times New Roman"/>
          <w:sz w:val="28"/>
          <w:szCs w:val="28"/>
          <w:lang w:val="uk-UA"/>
        </w:rPr>
        <w:t xml:space="preserve">Гладка Мирослава Вікторівна</w:t>
      </w:r>
      <w:r>
        <w:rPr>
          <w:rFonts w:ascii="Times New Roman" w:hAnsi="Times New Roman" w:eastAsia="Times New Roman" w:cs="Times New Roman"/>
          <w:sz w:val="28"/>
          <w:szCs w:val="28"/>
          <w:lang w:val="uk-UA"/>
        </w:rPr>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778369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___________________________  </w:t>
      </w:r>
      <w:r>
        <w:rPr>
          <w:rFonts w:ascii="Times New Roman" w:hAnsi="Times New Roman" w:cs="Times New Roman"/>
          <w:sz w:val="28"/>
          <w:szCs w:val="28"/>
        </w:rPr>
      </w:r>
      <w:r>
        <w:rPr>
          <w:rFonts w:ascii="Times New Roman" w:hAnsi="Times New Roman" w:cs="Times New Roman"/>
          <w:sz w:val="28"/>
          <w:szCs w:val="28"/>
        </w:rPr>
      </w:r>
    </w:p>
    <w:p w14:paraId="6637E8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(підпис викладача)  </w:t>
      </w:r>
      <w:r>
        <w:rPr>
          <w:rFonts w:ascii="Times New Roman" w:hAnsi="Times New Roman" w:cs="Times New Roman"/>
          <w:sz w:val="28"/>
          <w:szCs w:val="28"/>
        </w:rPr>
      </w:r>
      <w:r>
        <w:rPr>
          <w:rFonts w:ascii="Times New Roman" w:hAnsi="Times New Roman" w:cs="Times New Roman"/>
          <w:sz w:val="28"/>
          <w:szCs w:val="28"/>
        </w:rPr>
      </w:r>
    </w:p>
    <w:p w14:paraId="16CAD3CA">
      <w:pPr>
        <w:pBdr/>
        <w:spacing/>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2286A18F">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Київ-2026</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ectPr>
          <w:footerReference w:type="first" r:id="rId10"/>
          <w:footerReference w:type="default" r:id="rId11"/>
          <w:headerReference w:type="first" r:id="rId12"/>
          <w:headerReference w:type="default" r:id="rId13"/>
          <w:footnotePr/>
          <w:endnotePr/>
          <w:type w:val="nextPage"/>
          <w:pgSz w:h="16838" w:orient="portrait" w:w="11906"/>
          <w:pgMar w:top="1134" w:right="850" w:bottom="1134" w:left="1701" w:header="709" w:footer="709" w:gutter="0"/>
          <w:cols w:num="1" w:sep="0" w:space="708" w:equalWidth="1"/>
          <w:titlePg/>
        </w:sectPr>
      </w:pPr>
    </w:p>
    <w:p>
      <w:pPr>
        <w:keepNext w:val="0"/>
        <w:widowControl/>
        <w:spacing w:line="360" w:lineRule="auto" w:before="0" w:after="240"/>
        <w:ind w:firstLine="0" w:left="0"/>
        <w:jc w:val="center"/>
      </w:pPr>
      <w:r>
        <w:rPr>
          <w:rFonts w:ascii="Times New Roman" w:hAnsi="Times New Roman" w:cs="Times New Roman" w:eastAsia="Times New Roman"/>
          <w:b/>
          <w:i w:val="0"/>
          <w:color w:val="000000"/>
          <w:sz w:val="28"/>
        </w:rPr>
        <w:t>ЗМІСТ</w:t>
      </w:r>
    </w:p>
    <w:p>
      <w:pPr>
        <w:pStyle w:val="189"/>
        <w:keepNext w:val="0"/>
        <w:widowControl/>
        <w:tabs>
          <w:tab w:pos="9354" w:val="right" w:leader="dot"/>
        </w:tabs>
        <w:spacing w:line="360" w:lineRule="auto" w:before="0" w:after="0"/>
        <w:ind w:firstLine="0" w:left="0"/>
        <w:jc w:val="left"/>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000001" w:history="1">
        <w:r>
          <w:rPr>
            <w:rFonts w:ascii="Times New Roman" w:hAnsi="Times New Roman" w:cs="Times New Roman"/>
            <w:sz w:val="28"/>
            <w:szCs w:val="28"/>
          </w:rPr>
          <w:t xml:space="preserve">МЕТА РОБОТИ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w:t>
        </w:r>
        <w:r>
          <w:rPr>
            <w:rFonts w:ascii="Times New Roman" w:hAnsi="Times New Roman" w:cs="Times New Roman"/>
            <w:sz w:val="28"/>
            <w:szCs w:val="28"/>
          </w:rPr>
          <w:fldChar w:fldCharType="end"/>
        </w:r>
      </w:hyperlink>
    </w:p>
    <w:p>
      <w:pPr>
        <w:pStyle w:val="189"/>
        <w:keepNext w:val="0"/>
        <w:widowControl/>
        <w:tabs>
          <w:tab w:pos="9354" w:val="right" w:leader="dot"/>
        </w:tabs>
        <w:spacing w:line="360" w:lineRule="auto" w:before="0" w:after="0"/>
        <w:ind w:firstLine="0" w:left="0"/>
        <w:jc w:val="left"/>
      </w:pPr>
      <w:hyperlink w:anchor="_Toc000002" w:history="1">
        <w:r>
          <w:rPr>
            <w:rFonts w:ascii="Times New Roman" w:hAnsi="Times New Roman" w:cs="Times New Roman"/>
            <w:sz w:val="28"/>
            <w:szCs w:val="28"/>
          </w:rPr>
          <w:t xml:space="preserve">КОРОТКІ ТЕОРЕТИЧНІ ВІДОМОСТІ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w:t>
        </w:r>
        <w:r>
          <w:rPr>
            <w:rFonts w:ascii="Times New Roman" w:hAnsi="Times New Roman" w:cs="Times New Roman"/>
            <w:sz w:val="28"/>
            <w:szCs w:val="28"/>
          </w:rPr>
          <w:fldChar w:fldCharType="end"/>
        </w:r>
      </w:hyperlink>
    </w:p>
    <w:p>
      <w:pPr>
        <w:pStyle w:val="189"/>
        <w:keepNext w:val="0"/>
        <w:widowControl/>
        <w:tabs>
          <w:tab w:pos="9354" w:val="right" w:leader="dot"/>
        </w:tabs>
        <w:spacing w:line="360" w:lineRule="auto" w:before="0" w:after="0"/>
        <w:ind w:firstLine="0" w:left="0"/>
        <w:jc w:val="left"/>
      </w:pPr>
      <w:hyperlink w:anchor="_Toc000003" w:history="1">
        <w:r>
          <w:rPr>
            <w:rFonts w:ascii="Times New Roman" w:hAnsi="Times New Roman" w:cs="Times New Roman"/>
            <w:sz w:val="28"/>
            <w:szCs w:val="28"/>
          </w:rPr>
          <w:t xml:space="preserve">ХІД ВИКОНАННЯ РОБОТИ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6</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04" w:history="1">
        <w:r>
          <w:rPr>
            <w:rFonts w:ascii="Times New Roman" w:hAnsi="Times New Roman" w:cs="Times New Roman"/>
            <w:sz w:val="28"/>
            <w:szCs w:val="28"/>
          </w:rPr>
          <w:t xml:space="preserve">1. Вибір об’єкту дослідження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6</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05" w:history="1">
        <w:r>
          <w:rPr>
            <w:rFonts w:ascii="Times New Roman" w:hAnsi="Times New Roman" w:cs="Times New Roman"/>
            <w:sz w:val="28"/>
            <w:szCs w:val="28"/>
          </w:rPr>
          <w:t xml:space="preserve">2. Загальні відомості про підприємство</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7</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06" w:history="1">
        <w:r>
          <w:rPr>
            <w:rFonts w:ascii="Times New Roman" w:hAnsi="Times New Roman" w:cs="Times New Roman"/>
            <w:sz w:val="28"/>
            <w:szCs w:val="28"/>
          </w:rPr>
          <w:t xml:space="preserve">3. Структурна схема підприємства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8</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07" w:history="1">
        <w:r>
          <w:rPr>
            <w:rFonts w:ascii="Times New Roman" w:hAnsi="Times New Roman" w:cs="Times New Roman"/>
            <w:sz w:val="28"/>
            <w:szCs w:val="28"/>
          </w:rPr>
          <w:t xml:space="preserve">4. Роботи, що виконуються в досліджуваному підрозділі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10</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08" w:history="1">
        <w:r>
          <w:rPr>
            <w:rFonts w:ascii="Times New Roman" w:hAnsi="Times New Roman" w:cs="Times New Roman"/>
            <w:sz w:val="28"/>
            <w:szCs w:val="28"/>
          </w:rPr>
          <w:t xml:space="preserve">5. Функції та задачі підрозділів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13</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09" w:history="1">
        <w:r>
          <w:rPr>
            <w:rFonts w:ascii="Times New Roman" w:hAnsi="Times New Roman" w:cs="Times New Roman"/>
            <w:sz w:val="28"/>
            <w:szCs w:val="28"/>
          </w:rPr>
          <w:t xml:space="preserve">6. Таблиця функціональних взаємозв’язків між підрозділами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10" w:history="1">
        <w:r>
          <w:rPr>
            <w:rFonts w:ascii="Times New Roman" w:hAnsi="Times New Roman" w:cs="Times New Roman"/>
            <w:sz w:val="28"/>
            <w:szCs w:val="28"/>
          </w:rPr>
          <w:t xml:space="preserve">7. Задачі, які потребують автоматизації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15</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11" w:history="1">
        <w:r>
          <w:rPr>
            <w:rFonts w:ascii="Times New Roman" w:hAnsi="Times New Roman" w:cs="Times New Roman"/>
            <w:sz w:val="28"/>
            <w:szCs w:val="28"/>
          </w:rPr>
          <w:t xml:space="preserve">8. Визначення вершин дерева цілей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16</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12" w:history="1">
        <w:r>
          <w:rPr>
            <w:rFonts w:ascii="Times New Roman" w:hAnsi="Times New Roman" w:cs="Times New Roman"/>
            <w:sz w:val="28"/>
            <w:szCs w:val="28"/>
          </w:rPr>
          <w:t xml:space="preserve">9. Вибір підходу до розробки дерева цілей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17</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13" w:history="1">
        <w:r>
          <w:rPr>
            <w:rFonts w:ascii="Times New Roman" w:hAnsi="Times New Roman" w:cs="Times New Roman"/>
            <w:sz w:val="28"/>
            <w:szCs w:val="28"/>
          </w:rPr>
          <w:t xml:space="preserve">10. Розробка дерева цілей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18</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14" w:history="1">
        <w:r>
          <w:rPr>
            <w:rFonts w:ascii="Times New Roman" w:hAnsi="Times New Roman" w:cs="Times New Roman"/>
            <w:sz w:val="28"/>
            <w:szCs w:val="28"/>
          </w:rPr>
          <w:t xml:space="preserve">11. Робоча структура проєкту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21</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15" w:history="1">
        <w:r>
          <w:rPr>
            <w:rFonts w:ascii="Times New Roman" w:hAnsi="Times New Roman" w:cs="Times New Roman"/>
            <w:sz w:val="28"/>
            <w:szCs w:val="28"/>
          </w:rPr>
          <w:t xml:space="preserve">12. Основні етапи розробки WBS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22</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16" w:history="1">
        <w:r>
          <w:rPr>
            <w:rFonts w:ascii="Times New Roman" w:hAnsi="Times New Roman" w:cs="Times New Roman"/>
            <w:sz w:val="28"/>
            <w:szCs w:val="28"/>
          </w:rPr>
          <w:t xml:space="preserve">13. Аналіз характеристик проєкту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23</w:t>
        </w:r>
        <w:r>
          <w:rPr>
            <w:rFonts w:ascii="Times New Roman" w:hAnsi="Times New Roman" w:cs="Times New Roman"/>
            <w:sz w:val="28"/>
            <w:szCs w:val="28"/>
          </w:rPr>
          <w:fldChar w:fldCharType="end"/>
        </w:r>
      </w:hyperlink>
    </w:p>
    <w:p>
      <w:pPr>
        <w:pStyle w:val="190"/>
        <w:keepNext w:val="0"/>
        <w:widowControl/>
        <w:tabs>
          <w:tab w:pos="9354" w:val="right" w:leader="dot"/>
        </w:tabs>
        <w:spacing w:line="360" w:lineRule="auto" w:before="0" w:after="0"/>
        <w:ind w:firstLine="0" w:left="425"/>
        <w:jc w:val="left"/>
      </w:pPr>
      <w:hyperlink w:anchor="_Toc000017" w:history="1">
        <w:r>
          <w:rPr>
            <w:rFonts w:ascii="Times New Roman" w:hAnsi="Times New Roman" w:cs="Times New Roman"/>
            <w:sz w:val="28"/>
            <w:szCs w:val="28"/>
          </w:rPr>
          <w:t xml:space="preserve">14. Схематичне WBS-зображення проєкту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27</w:t>
        </w:r>
        <w:r>
          <w:rPr>
            <w:rFonts w:ascii="Times New Roman" w:hAnsi="Times New Roman" w:cs="Times New Roman"/>
            <w:sz w:val="28"/>
            <w:szCs w:val="28"/>
          </w:rPr>
          <w:fldChar w:fldCharType="end"/>
        </w:r>
      </w:hyperlink>
    </w:p>
    <w:p>
      <w:pPr>
        <w:pStyle w:val="189"/>
        <w:keepNext w:val="0"/>
        <w:widowControl/>
        <w:tabs>
          <w:tab w:pos="9354" w:val="right" w:leader="dot"/>
        </w:tabs>
        <w:spacing w:line="360" w:lineRule="auto" w:before="0" w:after="0"/>
        <w:ind w:firstLine="0" w:left="0"/>
        <w:jc w:val="left"/>
      </w:pPr>
      <w:hyperlink w:anchor="_Toc000018" w:history="1">
        <w:r>
          <w:rPr>
            <w:rFonts w:ascii="Times New Roman" w:hAnsi="Times New Roman" w:cs="Times New Roman"/>
            <w:sz w:val="28"/>
            <w:szCs w:val="28"/>
          </w:rPr>
          <w:t xml:space="preserve">ГРАФІЧНА ЧАСТИНА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34</w:t>
        </w:r>
        <w:r>
          <w:rPr>
            <w:rFonts w:ascii="Times New Roman" w:hAnsi="Times New Roman" w:cs="Times New Roman"/>
            <w:sz w:val="28"/>
            <w:szCs w:val="28"/>
          </w:rPr>
          <w:fldChar w:fldCharType="end"/>
        </w:r>
      </w:hyperlink>
    </w:p>
    <w:p>
      <w:pPr>
        <w:pStyle w:val="189"/>
        <w:keepNext w:val="0"/>
        <w:widowControl/>
        <w:tabs>
          <w:tab w:pos="9354" w:val="right" w:leader="dot"/>
        </w:tabs>
        <w:spacing w:line="360" w:lineRule="auto" w:before="0" w:after="0"/>
        <w:ind w:firstLine="0" w:left="0"/>
        <w:jc w:val="left"/>
      </w:pPr>
      <w:hyperlink w:anchor="_Toc000019" w:history="1">
        <w:r>
          <w:rPr>
            <w:rFonts w:ascii="Times New Roman" w:hAnsi="Times New Roman" w:cs="Times New Roman"/>
            <w:sz w:val="28"/>
            <w:szCs w:val="28"/>
          </w:rPr>
          <w:t xml:space="preserve">ВИСНОВКИ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36</w:t>
        </w:r>
        <w:r>
          <w:rPr>
            <w:rFonts w:ascii="Times New Roman" w:hAnsi="Times New Roman" w:cs="Times New Roman"/>
            <w:sz w:val="28"/>
            <w:szCs w:val="28"/>
          </w:rPr>
          <w:fldChar w:fldCharType="end"/>
        </w:r>
      </w:hyperlink>
    </w:p>
    <w:p>
      <w:pPr>
        <w:pStyle w:val="189"/>
        <w:keepNext w:val="0"/>
        <w:widowControl/>
        <w:tabs>
          <w:tab w:pos="9354" w:val="right" w:leader="dot"/>
        </w:tabs>
        <w:spacing w:line="360" w:lineRule="auto" w:before="0" w:after="0"/>
        <w:ind w:firstLine="0" w:left="0"/>
        <w:jc w:val="left"/>
      </w:pPr>
      <w:hyperlink w:anchor="_Toc000020" w:history="1">
        <w:r>
          <w:rPr>
            <w:rFonts w:ascii="Times New Roman" w:hAnsi="Times New Roman" w:cs="Times New Roman"/>
            <w:sz w:val="28"/>
            <w:szCs w:val="28"/>
          </w:rPr>
          <w:t xml:space="preserve">СПИСОК ВИКОРИСТАНИХ ДЖЕРЕЛ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37</w:t>
        </w:r>
        <w:r>
          <w:rPr>
            <w:rFonts w:ascii="Times New Roman" w:hAnsi="Times New Roman" w:cs="Times New Roman"/>
            <w:sz w:val="28"/>
            <w:szCs w:val="28"/>
          </w:rPr>
          <w:fldChar w:fldCharType="end"/>
        </w:r>
      </w:hyperlink>
      <w:r>
        <w:rPr>
          <w:rFonts w:ascii="Times New Roman" w:hAnsi="Times New Roman" w:cs="Times New Roman"/>
          <w:sz w:val="28"/>
          <w:szCs w:val="28"/>
        </w:rPr>
        <w:fldChar w:fldCharType="end"/>
      </w:r>
    </w:p>
    <w:p>
      <w:pPr>
        <w:pStyle w:val="139"/>
        <w:keepNext/>
        <w:pageBreakBefore/>
        <w:widowControl/>
        <w:spacing w:line="360" w:lineRule="auto" w:before="240" w:after="240"/>
        <w:ind w:firstLine="0" w:left="0"/>
        <w:jc w:val="center"/>
      </w:pPr>
      <w:bookmarkStart w:id="1" w:name="_Toc000001"/>
      <w:r>
        <w:rPr>
          <w:rFonts w:ascii="Times New Roman" w:hAnsi="Times New Roman" w:cs="Times New Roman" w:eastAsia="Times New Roman"/>
          <w:b/>
          <w:i w:val="0"/>
          <w:color w:val="000000"/>
          <w:sz w:val="28"/>
        </w:rPr>
        <w:t>МЕТА РОБОТИ</w:t>
      </w:r>
      <w:bookmarkEnd w:id="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Дослідити функції підприємства, описати роботи та взаємодії його підрозділів на прикладі умовного регіонального центру протидронової оборони; сформулювати задачі, які потребують автоматизації в межах теми «Проєктування розподіленої IoT-системи обміну телеметрією та координації дронів-перехоплювачів»; навчитися будувати дерево цілей автоматизованої системи та виконати структуризацію проєкту її створення відповідно до WBS-аналізу.</w:t>
      </w:r>
    </w:p>
    <w:p>
      <w:pPr>
        <w:pStyle w:val="139"/>
        <w:keepNext/>
        <w:pageBreakBefore w:val="0"/>
        <w:widowControl/>
        <w:spacing w:line="360" w:lineRule="auto" w:before="240" w:after="240"/>
        <w:ind w:firstLine="0" w:left="0"/>
        <w:jc w:val="center"/>
      </w:pPr>
      <w:bookmarkStart w:id="2" w:name="_Toc000002"/>
      <w:r>
        <w:rPr>
          <w:rFonts w:ascii="Times New Roman" w:hAnsi="Times New Roman" w:cs="Times New Roman" w:eastAsia="Times New Roman"/>
          <w:b/>
          <w:i w:val="0"/>
          <w:color w:val="000000"/>
          <w:sz w:val="28"/>
        </w:rPr>
        <w:t>КОРОТКІ ТЕОРЕТИЧНІ ВІДОМОСТІ</w:t>
      </w:r>
      <w:bookmarkEnd w:id="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Підприємство є самостійним суб’єктом господарювання, що систематично здійснює виробничу, науково-дослідну або іншу діяльність. Воно складається з виробничих і функціональних структурних підрозділів, функції, права та обов’язки яких визначаються положеннями про них. Структурна схема підприємства відображає основні підрозділи, їхнє призначення та підпорядкування: елементарні функціональні ланки зображують прямокутниками, а зв’язки підпорядкування — суцільними лініями зі стрілками. Для опису роботи підрозділу визначають виконувані роботи, ролі працівників і таблицю взаємодії, у якій показують інформаційні та матеріальні потоки, що надходять до підрозділу і виходять з нього.</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Дерево цілей — наочне графічне зображення підпорядкованості та взаємозв’язку цілей, яке демонструє розподіл генеральної мети (місії) на підцілі, завдання й окремі дії. Основна ідея його побудови — декомпозиція. Згідно з лекцією «Планування проєкту» до дерева цілей висувають такі вимоги: цілі кожного рівня мають бути порівнянні за масштабом і значенням; формулювання повинні допускати кількісну та якісну оцінку досягнення; має забезпечуватися повнота редукції, тобто сукупність підцілей повністю описує ціль вищого рівня; цілі описують бажані результати, а не способи їх отримання; підцілі одного рівня незалежні одна від одної; між рівнями відсутні суперечності; декомпозиція на всіх рівнях виконується за одним методологічним підходом, а завершується формулюванням заходів, що є альтернативними способами досягнення цілей.</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Для побудови дерева цілей застосовують два основні методи. Метод дезагрегації цілей використовують для формалізованих цілей, що характеризують реально існуючі або створювані об’єкти: генеральна ціль (система, код «0») поділяється на функціонально значущі підсистеми першого рівня, які не містять альтернатив, а другий і нижчі рівні містять основні та альтернативні елементи («і/або»-дерево). Метод забезпечення необхідних умов (В. М. Глушков) передбачає, що експерти формулюють умови, необхідні для досягнення мети, і на кожному наступному рівні конкретизують їх у термінах робіт.</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Ієрархічна структура робіт (WBS, Work Breakdown Structure) — ієрархічна структура, побудована для логічного розподілу всього обсягу робіт проєкту і подана в графічному вигляді. Кожен елемент WBS є частиною проєкту, до якої можна застосувати планування, управління і контроль; елементом найнижчого рівня є робочий пакет, що має обсяг робіт, відповідального виконавця, бюджет, потрібні ресурси та дати початку й завершення. Основні етапи розробки WBS: визначення ступеня деталізації робіт; визначення кількості рівнів (оптимально чотири); розробка структури кожного рівня; опис елементів; формування системи кодування; проведення зворотних обчислень (агрегування витрат знизу догори). Рівні формують за продуктами (субпроєктами), фазами проєкту, місцем виконання робіт або центрами затрат; під час розробки дотримуються правил результативності, агрегації, логічності, унікальності та гнучкості.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Об’єкт дослідження цієї роботи — розподілена система класу інформаційно-управляючих. Відповідно до лекцій «Архітектура ІС» та «Інфраструктура інформаційно-управляючих систем» вона поєднує рівень сприйняття (сенсори та вбудоване програмне забезпечення), мережевий та периферійний рівень (шлюзи, брокери повідомлень), прикладний рівень (сервіси обробки даних) і рівень користувача (людино-машинний інтерфейс, мнемосхеми), а за способом управління належить до інтерактивних систем супервізорного управління, у яких оператор видає цілевказівки, а автоматика виконує відповідні програми.</w:t>
      </w:r>
    </w:p>
    <w:p>
      <w:pPr>
        <w:pStyle w:val="139"/>
        <w:keepNext/>
        <w:pageBreakBefore/>
        <w:widowControl/>
        <w:spacing w:line="360" w:lineRule="auto" w:before="240" w:after="240"/>
        <w:ind w:firstLine="0" w:left="0"/>
        <w:jc w:val="center"/>
      </w:pPr>
      <w:bookmarkStart w:id="3" w:name="_Toc000003"/>
      <w:r>
        <w:rPr>
          <w:rFonts w:ascii="Times New Roman" w:hAnsi="Times New Roman" w:cs="Times New Roman" w:eastAsia="Times New Roman"/>
          <w:b/>
          <w:i w:val="0"/>
          <w:color w:val="000000"/>
          <w:sz w:val="28"/>
        </w:rPr>
        <w:t>ХІД ВИКОНАННЯ РОБОТИ</w:t>
      </w:r>
      <w:bookmarkEnd w:id="3"/>
    </w:p>
    <w:p>
      <w:pPr>
        <w:pStyle w:val="140"/>
        <w:keepNext/>
        <w:pageBreakBefore w:val="0"/>
        <w:widowControl/>
        <w:spacing w:line="360" w:lineRule="auto" w:before="120" w:after="120"/>
        <w:ind w:firstLine="709" w:left="0"/>
        <w:jc w:val="left"/>
      </w:pPr>
      <w:bookmarkStart w:id="4" w:name="_Toc000004"/>
      <w:r>
        <w:rPr>
          <w:rFonts w:ascii="Times New Roman" w:hAnsi="Times New Roman" w:cs="Times New Roman" w:eastAsia="Times New Roman"/>
          <w:b/>
          <w:i w:val="0"/>
          <w:color w:val="000000"/>
          <w:sz w:val="28"/>
        </w:rPr>
        <w:t>1. Вибір об’єкту дослідження</w:t>
      </w:r>
      <w:bookmarkEnd w:id="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Відповідно до теми «Проєктування розподіленої IoT-системи обміну телеметрією та координації дронів-перехоплювачів» об’єктом дослідження обрано діяльність регіонального центру протидронової оборони з виявлення, супроводу та перехоплення повітряних цілей — ударних і розвідувальних безпілотних літальних апаратів (БпЛА) — дронами-перехоплювачами. Предметом дослідження є процеси збору, передавання та злиття телеметрії, а також координації розрахунків перехоплювачів, що підлягають автоматизації. Інформаційна система, яка проєктується в межах циклу лабораторних робіт, отримала умовну назву </w:t>
      </w:r>
      <w:r>
        <w:rPr>
          <w:rFonts w:ascii="Times New Roman" w:hAnsi="Times New Roman" w:cs="Times New Roman" w:eastAsia="Times New Roman"/>
          <w:b/>
          <w:i w:val="0"/>
          <w:color w:val="000000"/>
          <w:sz w:val="28"/>
        </w:rPr>
        <w:t>IoT-платформа «Щит-Лінк»</w:t>
      </w:r>
      <w:r>
        <w:rPr>
          <w:rFonts w:ascii="Times New Roman" w:hAnsi="Times New Roman" w:cs="Times New Roman" w:eastAsia="Times New Roman"/>
          <w:b w:val="0"/>
          <w:i w:val="0"/>
          <w:color w:val="000000"/>
          <w:sz w:val="28"/>
        </w:rPr>
        <w:t>.</w:t>
      </w:r>
    </w:p>
    <w:p>
      <w:pPr>
        <w:keepNext w:val="0"/>
        <w:widowControl/>
        <w:spacing w:line="360" w:lineRule="auto" w:before="0" w:after="0"/>
        <w:ind w:firstLine="709" w:left="0"/>
        <w:jc w:val="both"/>
      </w:pPr>
      <w:r>
        <w:rPr>
          <w:rFonts w:ascii="Times New Roman" w:hAnsi="Times New Roman" w:cs="Times New Roman" w:eastAsia="Times New Roman"/>
          <w:b w:val="0"/>
          <w:i/>
          <w:color w:val="000000"/>
          <w:sz w:val="28"/>
        </w:rPr>
        <w:t>Примітка: РЦПДО «Щит-Північ» є навчальною умовною моделлю організації; усі назви, процеси та структури наведено суто з навчально-ілюстративною метою для проєктування інформаційної системи.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Актуальність теми зумовлена масовим застосуванням ударних БпЛА, значна частина яких летить на гранично малих висотах, що ускладнює їх виявлення радіолокаційними засобами. Ефективне протистояння потребує поєднання розподіленої мережі акустичних, радіолокаційних та оптико-електронних сенсорів із мобільними розрахунками дронів-перехоплювачів, а отже — інформаційної системи, яка в реальному часі об’єднує дані від сотень пристроїв і скорочує час від виявлення цілі до її перехоплення.</w:t>
      </w:r>
    </w:p>
    <w:p>
      <w:pPr>
        <w:pStyle w:val="140"/>
        <w:keepNext/>
        <w:pageBreakBefore/>
        <w:widowControl/>
        <w:spacing w:line="360" w:lineRule="auto" w:before="120" w:after="120"/>
        <w:ind w:firstLine="709" w:left="0"/>
        <w:jc w:val="left"/>
      </w:pPr>
      <w:bookmarkStart w:id="5" w:name="_Toc000005"/>
      <w:r>
        <w:rPr>
          <w:rFonts w:ascii="Times New Roman" w:hAnsi="Times New Roman" w:cs="Times New Roman" w:eastAsia="Times New Roman"/>
          <w:b/>
          <w:i w:val="0"/>
          <w:color w:val="000000"/>
          <w:sz w:val="28"/>
        </w:rPr>
        <w:t>2. Загальні відомості про підприємство</w:t>
      </w:r>
      <w:bookmarkEnd w:id="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Основні відомості про умовний центр наведено в табл. 1.1. РЦПДО «Щит-Північ» забезпечує прикриття об’єктів критичної інфраструктури та населених пунктів у визначеній зоні відповідальності, працює цілодобово в змінному режимі та взаємодіє з Повітряними силами, суміжними центрами, ДСНС і військовими адміністраціями.</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1.1 — Загальні відомості про РЦПДО «Щит-Північ»</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77"/>
        <w:gridCol w:w="4677"/>
      </w:tblGrid>
      <w:tr>
        <w:trPr>
          <w:tblHeader w:val="true"/>
          <w:cantSplit w:val="true"/>
        </w:trPr>
        <w:tc>
          <w:tcPr>
            <w:tcW w:type="dxa" w:w="334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Характеристика</w:t>
            </w:r>
          </w:p>
        </w:tc>
        <w:tc>
          <w:tcPr>
            <w:tcW w:type="dxa" w:w="6013"/>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Значення</w:t>
            </w:r>
          </w:p>
        </w:tc>
      </w:tr>
      <w:tr>
        <w:trPr>
          <w:cantSplit w:val="true"/>
        </w:trPr>
        <w:tc>
          <w:tcPr>
            <w:tcW w:type="dxa" w:w="33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Повна назва</w:t>
            </w:r>
          </w:p>
        </w:tc>
        <w:tc>
          <w:tcPr>
            <w:tcW w:type="dxa" w:w="601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Регіональний центр протидронової оборони «Щит-Північ» (РЦПДО «Щит-Північ»)</w:t>
            </w:r>
          </w:p>
        </w:tc>
      </w:tr>
      <w:tr>
        <w:trPr>
          <w:cantSplit w:val="true"/>
        </w:trPr>
        <w:tc>
          <w:tcPr>
            <w:tcW w:type="dxa" w:w="33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Статус</w:t>
            </w:r>
          </w:p>
        </w:tc>
        <w:tc>
          <w:tcPr>
            <w:tcW w:type="dxa" w:w="601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Навчальна умовна модель організації</w:t>
            </w:r>
          </w:p>
        </w:tc>
      </w:tr>
      <w:tr>
        <w:trPr>
          <w:cantSplit w:val="true"/>
        </w:trPr>
        <w:tc>
          <w:tcPr>
            <w:tcW w:type="dxa" w:w="33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Призначення</w:t>
            </w:r>
          </w:p>
        </w:tc>
        <w:tc>
          <w:tcPr>
            <w:tcW w:type="dxa" w:w="601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Виявлення, супровід і перехоплення повітряних цілей (ударних і розвідувальних БпЛА) у зоні відповідальності</w:t>
            </w:r>
          </w:p>
        </w:tc>
      </w:tr>
      <w:tr>
        <w:trPr>
          <w:cantSplit w:val="true"/>
        </w:trPr>
        <w:tc>
          <w:tcPr>
            <w:tcW w:type="dxa" w:w="33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Зона відповідальності</w:t>
            </w:r>
          </w:p>
        </w:tc>
        <w:tc>
          <w:tcPr>
            <w:tcW w:type="dxa" w:w="601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 райони області, ≈ 9 000 км², 14 об’єктів критичної інфраструктури</w:t>
            </w:r>
          </w:p>
        </w:tc>
      </w:tr>
      <w:tr>
        <w:trPr>
          <w:cantSplit w:val="true"/>
        </w:trPr>
        <w:tc>
          <w:tcPr>
            <w:tcW w:type="dxa" w:w="33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Режим роботи</w:t>
            </w:r>
          </w:p>
        </w:tc>
        <w:tc>
          <w:tcPr>
            <w:tcW w:type="dxa" w:w="601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Цілодобово; 3 зміни по 8 год, у періоди масованих атак — 2 зміни по 12 год</w:t>
            </w:r>
          </w:p>
        </w:tc>
      </w:tr>
      <w:tr>
        <w:trPr>
          <w:cantSplit w:val="true"/>
        </w:trPr>
        <w:tc>
          <w:tcPr>
            <w:tcW w:type="dxa" w:w="33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Чисельність персоналу</w:t>
            </w:r>
          </w:p>
        </w:tc>
        <w:tc>
          <w:tcPr>
            <w:tcW w:type="dxa" w:w="601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 160 осіб</w:t>
            </w:r>
          </w:p>
        </w:tc>
      </w:tr>
      <w:tr>
        <w:trPr>
          <w:cantSplit w:val="true"/>
        </w:trPr>
        <w:tc>
          <w:tcPr>
            <w:tcW w:type="dxa" w:w="33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Сенсорна мережа</w:t>
            </w:r>
          </w:p>
        </w:tc>
        <w:tc>
          <w:tcPr>
            <w:tcW w:type="dxa" w:w="601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120 акустичних сенсорів, 4 малогабаритні РЛС, 12 оптико-електронних постів</w:t>
            </w:r>
          </w:p>
        </w:tc>
      </w:tr>
      <w:tr>
        <w:trPr>
          <w:cantSplit w:val="true"/>
        </w:trPr>
        <w:tc>
          <w:tcPr>
            <w:tcW w:type="dxa" w:w="33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Сили перехоплення</w:t>
            </w:r>
          </w:p>
        </w:tc>
        <w:tc>
          <w:tcPr>
            <w:tcW w:type="dxa" w:w="601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18 розрахунків дронів-перехоплювачів на 9 позиціях; запас 300–600 перехоплювачів</w:t>
            </w:r>
          </w:p>
        </w:tc>
      </w:tr>
      <w:tr>
        <w:trPr>
          <w:cantSplit w:val="true"/>
        </w:trPr>
        <w:tc>
          <w:tcPr>
            <w:tcW w:type="dxa" w:w="33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Основні партнери</w:t>
            </w:r>
          </w:p>
        </w:tc>
        <w:tc>
          <w:tcPr>
            <w:tcW w:type="dxa" w:w="601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Повітряні сили ЗСУ, суміжні центри, ДСНС, обласна військова адміністрація, постачальники перехоплювачів</w:t>
            </w:r>
          </w:p>
        </w:tc>
      </w:tr>
      <w:tr>
        <w:trPr>
          <w:cantSplit w:val="true"/>
        </w:trPr>
        <w:tc>
          <w:tcPr>
            <w:tcW w:type="dxa" w:w="334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Інформаційна система, що проєктується</w:t>
            </w:r>
          </w:p>
        </w:tc>
        <w:tc>
          <w:tcPr>
            <w:tcW w:type="dxa" w:w="601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IoT-платформа «Щит-Лінк»</w:t>
            </w:r>
          </w:p>
        </w:tc>
      </w:tr>
    </w:tbl>
    <w:p>
      <w:pPr>
        <w:pStyle w:val="140"/>
        <w:keepNext/>
        <w:pageBreakBefore/>
        <w:widowControl/>
        <w:spacing w:line="360" w:lineRule="auto" w:before="120" w:after="120"/>
        <w:ind w:firstLine="709" w:left="0"/>
        <w:jc w:val="left"/>
      </w:pPr>
      <w:bookmarkStart w:id="6" w:name="_Toc000006"/>
      <w:r>
        <w:rPr>
          <w:rFonts w:ascii="Times New Roman" w:hAnsi="Times New Roman" w:cs="Times New Roman" w:eastAsia="Times New Roman"/>
          <w:b/>
          <w:i w:val="0"/>
          <w:color w:val="000000"/>
          <w:sz w:val="28"/>
        </w:rPr>
        <w:t>3. Структурна схема підприємства</w:t>
      </w:r>
      <w:bookmarkEnd w:id="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Організаційна структура центру лінійно-функціональна (рис. 1.1). Начальнику центру підпорядковані заступник з бойового управління, заступник з технічного забезпечення, відділ аналітики, планування та звітності, навчально-тренувальний відділ і сектор взаємодії. Заступнику з бойового управління підпорядковані командний пункт, відділ розвідки повітряного простору та сенсорних мереж і підрозділ дронів-перехоплювачів; заступнику з технічного забезпечення — служба зв’язку та ІТ, технічна служба і служба логістики. Досліджуваним підрозділом обрано </w:t>
      </w:r>
      <w:r>
        <w:rPr>
          <w:rFonts w:ascii="Times New Roman" w:hAnsi="Times New Roman" w:cs="Times New Roman" w:eastAsia="Times New Roman"/>
          <w:b/>
          <w:i w:val="0"/>
          <w:color w:val="000000"/>
          <w:sz w:val="28"/>
        </w:rPr>
        <w:t>командний пункт (КП)</w:t>
      </w:r>
      <w:r>
        <w:rPr>
          <w:rFonts w:ascii="Times New Roman" w:hAnsi="Times New Roman" w:cs="Times New Roman" w:eastAsia="Times New Roman"/>
          <w:b w:val="0"/>
          <w:i w:val="0"/>
          <w:color w:val="000000"/>
          <w:sz w:val="28"/>
        </w:rPr>
        <w:t xml:space="preserve"> — оперативний черговий центр, через який проходять усі інформаційні потоки бойового управління.</w:t>
      </w:r>
    </w:p>
    <w:p>
      <w:pPr>
        <w:keepNext/>
        <w:widowControl/>
        <w:spacing w:line="240" w:lineRule="auto" w:before="120" w:after="0"/>
        <w:ind w:firstLine="0" w:left="0"/>
        <w:jc w:val="center"/>
      </w:pPr>
      <w:r>
        <w:drawing>
          <wp:inline xmlns:pic="http://schemas.openxmlformats.org/drawingml/2006/picture">
            <wp:extent cx="5940000" cy="6005708"/>
            <wp:docPr id="1" name="Picture 1"/>
            <wp:cNvGraphicFramePr>
              <a:graphicFrameLocks noChangeAspect="1"/>
            </wp:cNvGraphicFramePr>
            <a:graphic>
              <a:graphicData uri="http://schemas.openxmlformats.org/drawingml/2006/picture">
                <pic:pic>
                  <pic:nvPicPr>
                    <pic:cNvPr id="0" name="01_org_structure.png"/>
                    <pic:cNvPicPr/>
                  </pic:nvPicPr>
                  <pic:blipFill>
                    <a:blip r:embed="rId14"/>
                    <a:stretch>
                      <a:fillRect/>
                    </a:stretch>
                  </pic:blipFill>
                  <pic:spPr>
                    <a:xfrm>
                      <a:off x="0" y="0"/>
                      <a:ext cx="5940000" cy="6005708"/>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1.1 — Структурна схема умовного РЦПДО «Щит-Північ»</w:t>
      </w:r>
    </w:p>
    <w:p>
      <w:pPr>
        <w:pStyle w:val="140"/>
        <w:keepNext/>
        <w:pageBreakBefore/>
        <w:widowControl/>
        <w:spacing w:line="360" w:lineRule="auto" w:before="120" w:after="120"/>
        <w:ind w:firstLine="709" w:left="0"/>
        <w:jc w:val="left"/>
      </w:pPr>
      <w:bookmarkStart w:id="7" w:name="_Toc000007"/>
      <w:r>
        <w:rPr>
          <w:rFonts w:ascii="Times New Roman" w:hAnsi="Times New Roman" w:cs="Times New Roman" w:eastAsia="Times New Roman"/>
          <w:b/>
          <w:i w:val="0"/>
          <w:color w:val="000000"/>
          <w:sz w:val="28"/>
        </w:rPr>
        <w:t>4. Роботи, що виконуються в досліджуваному підрозділі</w:t>
      </w:r>
      <w:bookmarkEnd w:id="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Командний пункт працює в режимі цілодобового бойового чергування. Послідовність робіт протягом зміни подано на рис. 1.2 у вигляді текстового алгоритму: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приймання зміни: оперативний черговий перевіряє стан сенсорної мережі, каналів зв’язку, готовність розрахунків і запаси перехоплювачів на позиціях, отримує розпорядження вищого командного пункту;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моніторинг повітряної обстановки: аналітик веде картину повітряного простору, оцінює покриття сенсорами та отримує попередження від суміжних центрів;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отримання та верифікація виявлень: донесення акустичних вузлів, РЛС, оптико-електронних постів і спостерігачів зіставляються, дублікати об’єднуються в єдиний трек;</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класифікація цілі та оцінка загрози: визначаються тип і належність цілі, звіряються плани польотів дружньої авіації, розраховується пріоритет за часом підльоту до об’єктів прикриття; хибні цілі знімаються із супроводу;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призначення розрахунку та санкціонування пуску: офіцер бойового управління обирає розрахунок, оперативний черговий санкціонує пуск, завдання передається розрахунку;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супровід місії: КП передає розрахунку уточнені дані про ціль, контролює хід перехоплення і за потреби скасовує місію;</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7) оцінка результату та доповідь: фіксуються результат, докази і місце падіння уламків, доповідь надсилається вищому командному пункту, після чого КП повертається до моніторингу наступних цілей;</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8) облік витрати ресурсу та передача зміни: оформлюються журнал бойового чергування, витрата перехоплювачів і заявки на поповнення.</w:t>
      </w:r>
    </w:p>
    <w:p>
      <w:pPr>
        <w:keepNext/>
        <w:widowControl/>
        <w:spacing w:line="240" w:lineRule="auto" w:before="120" w:after="0"/>
        <w:ind w:firstLine="0" w:left="0"/>
        <w:jc w:val="center"/>
      </w:pPr>
      <w:r>
        <w:drawing>
          <wp:inline xmlns:pic="http://schemas.openxmlformats.org/drawingml/2006/picture">
            <wp:extent cx="5259600" cy="7732766"/>
            <wp:docPr id="2" name="Picture 2"/>
            <wp:cNvGraphicFramePr>
              <a:graphicFrameLocks noChangeAspect="1"/>
            </wp:cNvGraphicFramePr>
            <a:graphic>
              <a:graphicData uri="http://schemas.openxmlformats.org/drawingml/2006/picture">
                <pic:pic>
                  <pic:nvPicPr>
                    <pic:cNvPr id="0" name="02_kp_workflow.png"/>
                    <pic:cNvPicPr/>
                  </pic:nvPicPr>
                  <pic:blipFill>
                    <a:blip r:embed="rId15"/>
                    <a:stretch>
                      <a:fillRect/>
                    </a:stretch>
                  </pic:blipFill>
                  <pic:spPr>
                    <a:xfrm>
                      <a:off x="0" y="0"/>
                      <a:ext cx="5259600" cy="7732766"/>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1.2 — Послідовність робіт командного пункту протягом зміни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Ролі персоналу КП та їхні посадові обов’язки наведено в табл. 1.2.</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1.2 — Посадові обов’язки персоналу командного пункту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77"/>
        <w:gridCol w:w="4677"/>
      </w:tblGrid>
      <w:tr>
        <w:trPr>
          <w:tblHeader w:val="true"/>
          <w:cantSplit w:val="true"/>
        </w:trPr>
        <w:tc>
          <w:tcPr>
            <w:tcW w:type="dxa" w:w="2673"/>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Посада (роль)</w:t>
            </w:r>
          </w:p>
        </w:tc>
        <w:tc>
          <w:tcPr>
            <w:tcW w:type="dxa" w:w="6682"/>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Основні обов’язки</w:t>
            </w:r>
          </w:p>
        </w:tc>
      </w:tr>
      <w:tr>
        <w:trPr>
          <w:cantSplit w:val="true"/>
        </w:trPr>
        <w:tc>
          <w:tcPr>
            <w:tcW w:type="dxa" w:w="267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Оперативний черговий</w:t>
            </w:r>
          </w:p>
        </w:tc>
        <w:tc>
          <w:tcPr>
            <w:tcW w:type="dxa" w:w="668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керує зміною та веде журнал бойового чергування;</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підтверджує класифікацію цілей і санкціонує пуски;</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оголошує режими готовності, доповідає вищому КП</w:t>
            </w:r>
          </w:p>
        </w:tc>
      </w:tr>
      <w:tr>
        <w:trPr>
          <w:cantSplit w:val="true"/>
        </w:trPr>
        <w:tc>
          <w:tcPr>
            <w:tcW w:type="dxa" w:w="267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Офіцер бойового управління</w:t>
            </w:r>
          </w:p>
        </w:tc>
        <w:tc>
          <w:tcPr>
            <w:tcW w:type="dxa" w:w="668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формує бойові завдання та обирає розрахунки;</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контролює виконання місій, ініціює скасування</w:t>
            </w:r>
          </w:p>
        </w:tc>
      </w:tr>
      <w:tr>
        <w:trPr>
          <w:cantSplit w:val="true"/>
        </w:trPr>
        <w:tc>
          <w:tcPr>
            <w:tcW w:type="dxa" w:w="267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Аналітик повітряної обстановки</w:t>
            </w:r>
          </w:p>
        </w:tc>
        <w:tc>
          <w:tcPr>
            <w:tcW w:type="dxa" w:w="668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веде картину повітряного простору, об’єднує та розділяє треки;</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позначає хибні цілі, класифікує цілі</w:t>
            </w:r>
          </w:p>
        </w:tc>
      </w:tr>
      <w:tr>
        <w:trPr>
          <w:cantSplit w:val="true"/>
        </w:trPr>
        <w:tc>
          <w:tcPr>
            <w:tcW w:type="dxa" w:w="267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Офіцер взаємодії (сектор взаємодії)</w:t>
            </w:r>
          </w:p>
        </w:tc>
        <w:tc>
          <w:tcPr>
            <w:tcW w:type="dxa" w:w="668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отримує плани польотів дружньої авіації;</w:t>
            </w:r>
          </w:p>
          <w:p>
            <w:pPr>
              <w:keepNext w:val="0"/>
              <w:widowControl/>
              <w:spacing w:line="240" w:lineRule="auto" w:before="0" w:after="0"/>
              <w:ind w:firstLine="0" w:left="0"/>
              <w:jc w:val="left"/>
            </w:pPr>
            <w:r>
              <w:rPr>
                <w:rFonts w:ascii="Times New Roman" w:hAnsi="Times New Roman" w:cs="Times New Roman" w:eastAsia="Times New Roman"/>
                <w:b w:val="0"/>
                <w:i w:val="0"/>
                <w:color w:val="000000"/>
                <w:sz w:val="24"/>
              </w:rPr>
              <w:t>обмінюється обстановкою з ПС ЗСУ і суміжними центрами</w:t>
            </w:r>
          </w:p>
        </w:tc>
      </w:tr>
    </w:tbl>
    <w:p>
      <w:pPr>
        <w:pStyle w:val="140"/>
        <w:keepNext/>
        <w:pageBreakBefore/>
        <w:widowControl/>
        <w:spacing w:line="360" w:lineRule="auto" w:before="120" w:after="120"/>
        <w:ind w:firstLine="709" w:left="0"/>
        <w:jc w:val="left"/>
      </w:pPr>
      <w:bookmarkStart w:id="8" w:name="_Toc000008"/>
      <w:r>
        <w:rPr>
          <w:rFonts w:ascii="Times New Roman" w:hAnsi="Times New Roman" w:cs="Times New Roman" w:eastAsia="Times New Roman"/>
          <w:b/>
          <w:i w:val="0"/>
          <w:color w:val="000000"/>
          <w:sz w:val="28"/>
        </w:rPr>
        <w:t>5. Функції та задачі підрозділів</w:t>
      </w:r>
      <w:bookmarkEnd w:id="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Задачі та функції підрозділів центру подано в табл. 1.3. Для командного пункту ключовими є функції ведення повітряної обстановки, призначення цілей і санкціонування пусків, для підрозділів забезпечення — підтримання готовності техніки, зв’язку та запасів.</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1.3 — Задачі та функції підрозділів РЦПДО «Щит-Північ»</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4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w:t>
            </w:r>
          </w:p>
        </w:tc>
        <w:tc>
          <w:tcPr>
            <w:tcW w:type="dxa" w:w="210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Підрозділ</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Задачі</w:t>
            </w:r>
          </w:p>
        </w:tc>
        <w:tc>
          <w:tcPr>
            <w:tcW w:type="dxa" w:w="4326"/>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Функції</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w:t>
            </w:r>
          </w:p>
        </w:tc>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Командний пункт (оперативний черговий центр)</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Цілодобове бойове управління; формування повітряної обстановки; прийняття рішень на перехоплення</w:t>
            </w:r>
          </w:p>
        </w:tc>
        <w:tc>
          <w:tcPr>
            <w:tcW w:type="dxa" w:w="432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Моніторинг треків; підтвердження класифікації; призначення цілей розрахункам; санкціонування пуску; координація з ПС ЗСУ; ведення журналу бойового чергування</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 розвідки повітряного простору та сенсорних мереж</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Своєчасне виявлення повітряних цілей</w:t>
            </w:r>
          </w:p>
        </w:tc>
        <w:tc>
          <w:tcPr>
            <w:tcW w:type="dxa" w:w="432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Експлуатація сенсорної мережі; верифікація виявлень; калібрування сенсорів; контроль покриття; передавання донесень</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Підрозділ дронів-перехоплювачів</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Перехоплення повітряних цілей</w:t>
            </w:r>
          </w:p>
        </w:tc>
        <w:tc>
          <w:tcPr>
            <w:tcW w:type="dxa" w:w="432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Підтримання готовності; підготовка до пуску; пілотування і супровід; доповідь про результат; повернення або евакуація перехоплювача</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Служба зв’язку та ІТ</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Безперервність зв’язку та роботи інформаційної системи</w:t>
            </w:r>
          </w:p>
        </w:tc>
        <w:tc>
          <w:tcPr>
            <w:tcW w:type="dxa" w:w="432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Адміністрування платформи; резервування каналів; керування ключами і сертифікатами; моніторинг інцидентів кібербезпеки; оновлення ПЗ</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Технічна служба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Справність техніки</w:t>
            </w:r>
          </w:p>
        </w:tc>
        <w:tc>
          <w:tcPr>
            <w:tcW w:type="dxa" w:w="432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Передпольотний і післяпольотний контроль; ремонт; облік ресурсу АКБ; списання техніки</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6</w:t>
            </w:r>
          </w:p>
        </w:tc>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Служба логістики</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Забезпеченість ресурсами</w:t>
            </w:r>
          </w:p>
        </w:tc>
        <w:tc>
          <w:tcPr>
            <w:tcW w:type="dxa" w:w="432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Облік запасів; розподіл по позиціях; заявки на поповнення; транспортування</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7</w:t>
            </w:r>
          </w:p>
        </w:tc>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 аналітики, планування та звітності</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Оцінка ефективності та планування</w:t>
            </w:r>
          </w:p>
        </w:tc>
        <w:tc>
          <w:tcPr>
            <w:tcW w:type="dxa" w:w="432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Аналіз результатів; розрахунок показників ефективності; добові та місячні звіти; планування розміщення позицій</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8</w:t>
            </w:r>
          </w:p>
        </w:tc>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Навчально-тренувальний відділ</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Підготовка кадрів</w:t>
            </w:r>
          </w:p>
        </w:tc>
        <w:tc>
          <w:tcPr>
            <w:tcW w:type="dxa" w:w="432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Курси операторів; тренування на симуляторі; атестація; допуск до чергування</w:t>
            </w:r>
          </w:p>
        </w:tc>
      </w:tr>
      <w:tr>
        <w:trPr>
          <w:cantSplit w:val="true"/>
        </w:trPr>
        <w:tc>
          <w:tcPr>
            <w:tcW w:type="dxa" w:w="4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9</w:t>
            </w:r>
          </w:p>
        </w:tc>
        <w:tc>
          <w:tcPr>
            <w:tcW w:type="dxa" w:w="210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Сектор взаємодії</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Узгодженість дій із зовнішніми організаціями</w:t>
            </w:r>
          </w:p>
        </w:tc>
        <w:tc>
          <w:tcPr>
            <w:tcW w:type="dxa" w:w="432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Обмін обстановкою з ПС ЗСУ і суміжними центрами; погодження польотів дружньої авіації; інформування військових адміністрацій і ДСНС</w:t>
            </w:r>
          </w:p>
        </w:tc>
      </w:tr>
    </w:tbl>
    <w:p>
      <w:pPr>
        <w:pStyle w:val="140"/>
        <w:keepNext/>
        <w:pageBreakBefore/>
        <w:widowControl/>
        <w:spacing w:line="360" w:lineRule="auto" w:before="120" w:after="120"/>
        <w:ind w:firstLine="709" w:left="0"/>
        <w:jc w:val="left"/>
      </w:pPr>
      <w:bookmarkStart w:id="9" w:name="_Toc000009"/>
      <w:r>
        <w:rPr>
          <w:rFonts w:ascii="Times New Roman" w:hAnsi="Times New Roman" w:cs="Times New Roman" w:eastAsia="Times New Roman"/>
          <w:b/>
          <w:i w:val="0"/>
          <w:color w:val="000000"/>
          <w:sz w:val="28"/>
        </w:rPr>
        <w:t>6. Таблиця функціональних взаємозв’язків між підрозділами</w:t>
      </w:r>
      <w:bookmarkEnd w:id="9"/>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Взаємодію командного пункту з іншими підрозділами (інформаційні та документальні потоки, які КП одержує і надає) наведено в табл. 1.4.</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1.4 — Взаємодія командного пункту з іншими підрозділами</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4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w:t>
            </w:r>
          </w:p>
        </w:tc>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Підрозділ</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Одержання</w:t>
            </w:r>
          </w:p>
        </w:tc>
        <w:tc>
          <w:tcPr>
            <w:tcW w:type="dxa" w:w="339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Надання</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 розвідки повітряного простору</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виявлення та треки цілей;</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дані про стан і покриття сенсорів;</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донесення спостерігачів;</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відеопотоки оптико-електронних постів</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вимоги до зон спостереження;</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запити на доуточнення цілі;</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розпорядження щодо переміщення постів</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Підрозділ дронів-перехоплювачів</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доповіді про готовність;</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телеметрію перехоплювачів;</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підтвердження прийняття завдань;</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доповіді про результат і витрату</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бойові завдання (призначення цілей);</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дозвіл або заборону пуску;</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команди на скасування;</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дані цілевказання</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Служба зв’язку та ІТ</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стан каналів і вузлів;</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повідомлення про інциденти;</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графік оновлень</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вимоги до пріоритету трафіку;</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заявки на відновлення зв’язку;</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переліки прав доступу персоналу</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Технічна служба</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стан справності перехоплювачів, АКБ, сенсорів;</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прогноз готовності техніки</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дані про відмови та втрати;</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наліт і ресурс за місію;</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заявки на ремонт</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Служба логістики</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залишки перехоплювачів і АКБ по позиціях;</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графік підвезення</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фактичну витрату;</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заявки на перерозподіл;</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прогноз потреби</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6</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 аналітики, планування та звітності</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аналітичні звіти;</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рекомендації щодо розміщення позицій;</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показники ефективності</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журнали бойового чергування;</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результати перехоплень;</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записи місій</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7</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Навчально-тренувальний відділ</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списки допущених операторів;</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результати атестації</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типові помилки;</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сценарії для тренувань;</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потреби в підготовці</w:t>
            </w:r>
          </w:p>
        </w:tc>
      </w:tr>
      <w:tr>
        <w:trPr>
          <w:cantSplit w:val="true"/>
        </w:trPr>
        <w:tc>
          <w:tcPr>
            <w:tcW w:type="dxa" w:w="4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8</w:t>
            </w:r>
          </w:p>
        </w:tc>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Сектор взаємодії (ПС ЗСУ, суміжні центри)</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плани польотів дружньої авіації;</w:t>
            </w:r>
          </w:p>
          <w:p>
            <w:pPr>
              <w:keepNext w:val="0"/>
              <w:widowControl/>
              <w:spacing w:line="240" w:lineRule="auto" w:before="0" w:after="0"/>
              <w:ind w:firstLine="0" w:left="0"/>
              <w:jc w:val="left"/>
            </w:pPr>
            <w:r>
              <w:rPr>
                <w:rFonts w:ascii="Times New Roman" w:hAnsi="Times New Roman" w:cs="Times New Roman" w:eastAsia="Times New Roman"/>
                <w:b w:val="0"/>
                <w:i w:val="0"/>
                <w:color w:val="000000"/>
                <w:sz w:val="24"/>
              </w:rPr>
              <w:t>загальну повітряну обстановку;</w:t>
            </w:r>
          </w:p>
          <w:p>
            <w:pPr>
              <w:keepNext w:val="0"/>
              <w:widowControl/>
              <w:spacing w:line="240" w:lineRule="auto" w:before="0" w:after="0"/>
              <w:ind w:firstLine="0" w:left="0"/>
              <w:jc w:val="left"/>
            </w:pPr>
            <w:r>
              <w:rPr>
                <w:rFonts w:ascii="Times New Roman" w:hAnsi="Times New Roman" w:cs="Times New Roman" w:eastAsia="Times New Roman"/>
                <w:b w:val="0"/>
                <w:i w:val="0"/>
                <w:color w:val="000000"/>
                <w:sz w:val="24"/>
              </w:rPr>
              <w:t>розпорядження вищого КП</w:t>
            </w:r>
          </w:p>
        </w:tc>
        <w:tc>
          <w:tcPr>
            <w:tcW w:type="dxa" w:w="339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донесення про обстановку та результати;</w:t>
            </w:r>
          </w:p>
          <w:p>
            <w:pPr>
              <w:keepNext w:val="0"/>
              <w:widowControl/>
              <w:spacing w:line="240" w:lineRule="auto" w:before="0" w:after="0"/>
              <w:ind w:firstLine="0" w:left="0"/>
              <w:jc w:val="left"/>
            </w:pPr>
            <w:r>
              <w:rPr>
                <w:rFonts w:ascii="Times New Roman" w:hAnsi="Times New Roman" w:cs="Times New Roman" w:eastAsia="Times New Roman"/>
                <w:b w:val="0"/>
                <w:i w:val="0"/>
                <w:color w:val="000000"/>
                <w:sz w:val="24"/>
              </w:rPr>
              <w:t>запити на погодження польотів</w:t>
            </w:r>
          </w:p>
        </w:tc>
      </w:tr>
    </w:tbl>
    <w:p>
      <w:pPr>
        <w:pStyle w:val="140"/>
        <w:keepNext/>
        <w:pageBreakBefore/>
        <w:widowControl/>
        <w:spacing w:line="360" w:lineRule="auto" w:before="120" w:after="120"/>
        <w:ind w:firstLine="709" w:left="0"/>
        <w:jc w:val="left"/>
      </w:pPr>
      <w:bookmarkStart w:id="10" w:name="_Toc000010"/>
      <w:r>
        <w:rPr>
          <w:rFonts w:ascii="Times New Roman" w:hAnsi="Times New Roman" w:cs="Times New Roman" w:eastAsia="Times New Roman"/>
          <w:b/>
          <w:i w:val="0"/>
          <w:color w:val="000000"/>
          <w:sz w:val="28"/>
        </w:rPr>
        <w:t>7. Задачі, які потребують автоматизації</w:t>
      </w:r>
      <w:bookmarkEnd w:id="1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Аналіз робіт КП і таблиці взаємозв’язків показав, що основні втрати часу та помилки виникають через надходження даних різними каналами (радіо, месенджери, окремі застосунки), голосове цілевказання та паперовий облік. Задачі, які потребують автоматизації, наведено в табл. 1.5; саме вони визначають функціональний склад IoT-платформи «Щит-Лінк».</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1.5 — Задачі, які потребують автоматизації</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4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w:t>
            </w:r>
          </w:p>
        </w:tc>
        <w:tc>
          <w:tcPr>
            <w:tcW w:type="dxa" w:w="268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Задача</w:t>
            </w:r>
          </w:p>
        </w:tc>
        <w:tc>
          <w:tcPr>
            <w:tcW w:type="dxa" w:w="3040"/>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Поточний стан (як є)</w:t>
            </w:r>
          </w:p>
        </w:tc>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Очікуваний результат (як має бути)</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w:t>
            </w:r>
          </w:p>
        </w:tc>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Збір і нормалізація телеметрії з різнотипних сенсорів і перехоплювачів</w:t>
            </w:r>
          </w:p>
        </w:tc>
        <w:tc>
          <w:tcPr>
            <w:tcW w:type="dxa" w:w="30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Дані надходять різними каналами в різних форматах</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Єдиний потік даних у канонічному форматі</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Злиття виявлень у треки та прогноз траєкторій</w:t>
            </w:r>
          </w:p>
        </w:tc>
        <w:tc>
          <w:tcPr>
            <w:tcW w:type="dxa" w:w="30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Ручне зіставлення донесень, дублікати цілей</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Автоматичні треки з прогнозом часу підльоту</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Підтримка класифікації та оцінки загрози</w:t>
            </w:r>
          </w:p>
        </w:tc>
        <w:tc>
          <w:tcPr>
            <w:tcW w:type="dxa" w:w="30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Суб’єктивна оцінка, залежна від досвіду чергового</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Підказки класифікації та пріоритет загрози з підтвердженням людиною</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Підбір розрахунку і доставка бойових завдань</w:t>
            </w:r>
          </w:p>
        </w:tc>
        <w:tc>
          <w:tcPr>
            <w:tcW w:type="dxa" w:w="30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Голосове цілевказання по радіо (30–90 с)</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Цифрове завдання на планшеті розрахунку за ≤ 1 с</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Моніторинг місії в реальному часі</w:t>
            </w:r>
          </w:p>
        </w:tc>
        <w:tc>
          <w:tcPr>
            <w:tcW w:type="dxa" w:w="30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Доповіді голосом, немає спільної картини</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Спільне відображення цілі та перехоплювача</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6</w:t>
            </w:r>
          </w:p>
        </w:tc>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Облік готовності розрахунків, перехоплювачів, АКБ і запасів</w:t>
            </w:r>
          </w:p>
        </w:tc>
        <w:tc>
          <w:tcPr>
            <w:tcW w:type="dxa" w:w="30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Паперові та табличні журнали</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Реєстр готовності, оновлюваний автоматично</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7</w:t>
            </w:r>
          </w:p>
        </w:tc>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Деконфлікція з дружньою авіацією та контроль зон заборони</w:t>
            </w:r>
          </w:p>
        </w:tc>
        <w:tc>
          <w:tcPr>
            <w:tcW w:type="dxa" w:w="30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Узгодження телефоном, ризик помилки</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Автоматичне блокування призначень у заборонених зонах</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8</w:t>
            </w:r>
          </w:p>
        </w:tc>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Формування звітів про перехоплення та аналітика</w:t>
            </w:r>
          </w:p>
        </w:tc>
        <w:tc>
          <w:tcPr>
            <w:tcW w:type="dxa" w:w="30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Звіти складаються вручну після зміни</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Автоматичний звіт ≤ 15 хв, панель показників ефективності</w:t>
            </w:r>
          </w:p>
        </w:tc>
      </w:tr>
      <w:tr>
        <w:trPr>
          <w:cantSplit w:val="true"/>
        </w:trPr>
        <w:tc>
          <w:tcPr>
            <w:tcW w:type="dxa" w:w="4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9</w:t>
            </w:r>
          </w:p>
        </w:tc>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Оповіщення та ескалація подій</w:t>
            </w:r>
          </w:p>
        </w:tc>
        <w:tc>
          <w:tcPr>
            <w:tcW w:type="dxa" w:w="30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Ручне оповіщення відповідальних осіб</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Автоматичні сповіщення з контролем підтвердження</w:t>
            </w:r>
          </w:p>
        </w:tc>
      </w:tr>
      <w:tr>
        <w:trPr>
          <w:cantSplit w:val="true"/>
        </w:trPr>
        <w:tc>
          <w:tcPr>
            <w:tcW w:type="dxa" w:w="4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10</w:t>
            </w:r>
          </w:p>
        </w:tc>
        <w:tc>
          <w:tcPr>
            <w:tcW w:type="dxa" w:w="268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Управління доступом, аудит і кіберзахист</w:t>
            </w:r>
          </w:p>
        </w:tc>
        <w:tc>
          <w:tcPr>
            <w:tcW w:type="dxa" w:w="304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Спільні облікові записи, відсутність аудиту</w:t>
            </w:r>
          </w:p>
        </w:tc>
        <w:tc>
          <w:tcPr>
            <w:tcW w:type="dxa" w:w="315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Рольовий доступ, багатофакторна автентифікація, незмінний журнал аудиту</w:t>
            </w:r>
          </w:p>
        </w:tc>
      </w:tr>
    </w:tbl>
    <w:p>
      <w:pPr>
        <w:pStyle w:val="140"/>
        <w:keepNext/>
        <w:pageBreakBefore/>
        <w:widowControl/>
        <w:spacing w:line="360" w:lineRule="auto" w:before="120" w:after="120"/>
        <w:ind w:firstLine="709" w:left="0"/>
        <w:jc w:val="left"/>
      </w:pPr>
      <w:bookmarkStart w:id="11" w:name="_Toc000011"/>
      <w:r>
        <w:rPr>
          <w:rFonts w:ascii="Times New Roman" w:hAnsi="Times New Roman" w:cs="Times New Roman" w:eastAsia="Times New Roman"/>
          <w:b/>
          <w:i w:val="0"/>
          <w:color w:val="000000"/>
          <w:sz w:val="28"/>
        </w:rPr>
        <w:t>8. Визначення вершин дерева цілей</w:t>
      </w:r>
      <w:bookmarkEnd w:id="1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Вершиною (генеральною метою, код «0») дерева цілей визначено: «Забезпечення безпеки повітряного простору на території, яку покриває система» (система — IoT-платформа «Щит-Лінк»). Безпеку повітряного простору території розуміємо як стан, за якого всі повітряні цілі над нею своєчасно виявляються, загрози нейтралізуються, а дружня авіація й населення не зазнають шкоди. Тому перший рівень утворюють п’ять функціонально значущих цілей, сукупність яких повністю описує генеральну мету: обізнаність про обстановку, нейтралізація загроз, безпека дружньої авіації та населення, готовність сил і засобів, стійка робота самої системи (табл. 1.6). Для кожної цілі визначено показник, за яким оцінюється її досягнення.</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1.6 — Вершини дерева цілей та показники їх досягнення</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850"/>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Код</w:t>
            </w:r>
          </w:p>
        </w:tc>
        <w:tc>
          <w:tcPr>
            <w:tcW w:type="dxa" w:w="485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Ціль</w:t>
            </w:r>
          </w:p>
        </w:tc>
        <w:tc>
          <w:tcPr>
            <w:tcW w:type="dxa" w:w="364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Показник досягнення</w:t>
            </w:r>
          </w:p>
        </w:tc>
      </w:tr>
      <w:tr>
        <w:trPr>
          <w:cantSplit w:val="true"/>
        </w:trPr>
        <w:tc>
          <w:tcPr>
            <w:tcW w:type="dxa" w:w="85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0</w:t>
            </w:r>
          </w:p>
        </w:tc>
        <w:tc>
          <w:tcPr>
            <w:tcW w:type="dxa" w:w="4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Забезпечення безпеки повітряного простору на території, яку покриває система</w:t>
            </w:r>
          </w:p>
        </w:tc>
        <w:tc>
          <w:tcPr>
            <w:tcW w:type="dxa" w:w="364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Частка нейтралізованих повітряних загроз серед виявлених над територією ≥ 90 %; відсутність уражень дружніх повітряних суден і цивільних об’єктів власними засобами</w:t>
            </w:r>
          </w:p>
        </w:tc>
      </w:tr>
      <w:tr>
        <w:trPr>
          <w:cantSplit w:val="true"/>
        </w:trPr>
        <w:tc>
          <w:tcPr>
            <w:tcW w:type="dxa" w:w="85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w:t>
            </w:r>
          </w:p>
        </w:tc>
        <w:tc>
          <w:tcPr>
            <w:tcW w:type="dxa" w:w="4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Повна та достовірна обізнаність про повітряну обстановку</w:t>
            </w:r>
          </w:p>
        </w:tc>
        <w:tc>
          <w:tcPr>
            <w:tcW w:type="dxa" w:w="364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Доступність сенсорів ≥ 97 %; частка хибних тривог ≤ 5 %</w:t>
            </w:r>
          </w:p>
        </w:tc>
      </w:tr>
      <w:tr>
        <w:trPr>
          <w:cantSplit w:val="true"/>
        </w:trPr>
        <w:tc>
          <w:tcPr>
            <w:tcW w:type="dxa" w:w="85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4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Своєчасна нейтралізація повітряних загроз</w:t>
            </w:r>
          </w:p>
        </w:tc>
        <w:tc>
          <w:tcPr>
            <w:tcW w:type="dxa" w:w="364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Час «підтвердження треку — призначення» ≤ 30 с; доставка завдання ≤ 1 с</w:t>
            </w:r>
          </w:p>
        </w:tc>
      </w:tr>
      <w:tr>
        <w:trPr>
          <w:cantSplit w:val="true"/>
        </w:trPr>
        <w:tc>
          <w:tcPr>
            <w:tcW w:type="dxa" w:w="85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4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Безпека дружньої авіації та населення</w:t>
            </w:r>
          </w:p>
        </w:tc>
        <w:tc>
          <w:tcPr>
            <w:tcW w:type="dxa" w:w="364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0 уражень дружніх суден; 100 % пусків із санкцією другої особи</w:t>
            </w:r>
          </w:p>
        </w:tc>
      </w:tr>
      <w:tr>
        <w:trPr>
          <w:cantSplit w:val="true"/>
        </w:trPr>
        <w:tc>
          <w:tcPr>
            <w:tcW w:type="dxa" w:w="85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4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Постійна готовність сил і засобів</w:t>
            </w:r>
          </w:p>
        </w:tc>
        <w:tc>
          <w:tcPr>
            <w:tcW w:type="dxa" w:w="364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Частка розрахунків у готовності ≥ 80 %; запас на позиціях ≥ 2 ночей</w:t>
            </w:r>
          </w:p>
        </w:tc>
      </w:tr>
      <w:tr>
        <w:trPr>
          <w:cantSplit w:val="true"/>
        </w:trPr>
        <w:tc>
          <w:tcPr>
            <w:tcW w:type="dxa" w:w="85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485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Стійка та захищена робота системи</w:t>
            </w:r>
          </w:p>
        </w:tc>
        <w:tc>
          <w:tcPr>
            <w:tcW w:type="dxa" w:w="364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Доступність ядра 99,95 %; 100 % команд в аудиті; звіт ≤ 15 хв</w:t>
            </w:r>
          </w:p>
        </w:tc>
      </w:tr>
    </w:tbl>
    <w:p>
      <w:pPr>
        <w:pStyle w:val="140"/>
        <w:keepNext/>
        <w:pageBreakBefore/>
        <w:widowControl/>
        <w:spacing w:line="360" w:lineRule="auto" w:before="120" w:after="120"/>
        <w:ind w:firstLine="709" w:left="0"/>
        <w:jc w:val="left"/>
      </w:pPr>
      <w:bookmarkStart w:id="12" w:name="_Toc000012"/>
      <w:r>
        <w:rPr>
          <w:rFonts w:ascii="Times New Roman" w:hAnsi="Times New Roman" w:cs="Times New Roman" w:eastAsia="Times New Roman"/>
          <w:b/>
          <w:i w:val="0"/>
          <w:color w:val="000000"/>
          <w:sz w:val="28"/>
        </w:rPr>
        <w:t>9. Вибір підходу до розробки дерева цілей</w:t>
      </w:r>
      <w:bookmarkEnd w:id="1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Порівняння двох методів побудови дерева цілей наведено в табл. 1.7. Оскільки IoT-платформа «Щит-Лінк» є створюваним технічним об’єктом з формалізованими цілями, обрано </w:t>
      </w:r>
      <w:r>
        <w:rPr>
          <w:rFonts w:ascii="Times New Roman" w:hAnsi="Times New Roman" w:cs="Times New Roman" w:eastAsia="Times New Roman"/>
          <w:b/>
          <w:i w:val="0"/>
          <w:color w:val="000000"/>
          <w:sz w:val="28"/>
        </w:rPr>
        <w:t>метод дезагрегації цілей</w:t>
      </w:r>
      <w:r>
        <w:rPr>
          <w:rFonts w:ascii="Times New Roman" w:hAnsi="Times New Roman" w:cs="Times New Roman" w:eastAsia="Times New Roman"/>
          <w:b w:val="0"/>
          <w:i w:val="0"/>
          <w:color w:val="000000"/>
          <w:sz w:val="28"/>
        </w:rPr>
        <w:t>: перший рівень відповідає функціонально значущим підсистемам і не містить альтернатив, другий рівень конкретизує цілі вимірюваними показниками, а третій містить основні та альтернативні заходи («і/або»-дерево). Декомпозицію на всіх рівнях виконано за одним підходом — за функціональним призначенням.</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1.7 — Порівняння методів побудови дерева цілей</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33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Критерій</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Метод дезагрегації</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Метод забезпечення необхідних умов</w:t>
            </w:r>
          </w:p>
        </w:tc>
      </w:tr>
      <w:tr>
        <w:trPr>
          <w:cantSplit w:val="true"/>
        </w:trPr>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Тип цілей</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Формалізовані, що характеризують створюваний об’єкт</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Будь-які, зокрема неформалізовані</w:t>
            </w:r>
          </w:p>
        </w:tc>
      </w:tr>
      <w:tr>
        <w:trPr>
          <w:cantSplit w:val="true"/>
        </w:trPr>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Основа декомпозиції</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Системне уявлення: система — підсистеми — елементи</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Умови, необхідні для досягнення мети, визначені експертами</w:t>
            </w:r>
          </w:p>
        </w:tc>
      </w:tr>
      <w:tr>
        <w:trPr>
          <w:cantSplit w:val="true"/>
        </w:trPr>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Альтернативи</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 другого рівня («і/або»-дерево)</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Не обов’язкові</w:t>
            </w:r>
          </w:p>
        </w:tc>
      </w:tr>
      <w:tr>
        <w:trPr>
          <w:cantSplit w:val="true"/>
        </w:trPr>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Потреба в експертах</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Помірна</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Висока (незалежна експертиза)</w:t>
            </w:r>
          </w:p>
        </w:tc>
      </w:tr>
      <w:tr>
        <w:trPr>
          <w:cantSplit w:val="true"/>
        </w:trPr>
        <w:tc>
          <w:tcPr>
            <w:tcW w:type="dxa" w:w="233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Придатність для ІС «Щит-Лінк»</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Висока: цілі пов’язані з підсистемами ІС</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Середня</w:t>
            </w:r>
          </w:p>
        </w:tc>
      </w:tr>
    </w:tbl>
    <w:p>
      <w:pPr>
        <w:pStyle w:val="140"/>
        <w:keepNext/>
        <w:pageBreakBefore/>
        <w:widowControl/>
        <w:spacing w:line="360" w:lineRule="auto" w:before="120" w:after="120"/>
        <w:ind w:firstLine="709" w:left="0"/>
        <w:jc w:val="left"/>
      </w:pPr>
      <w:bookmarkStart w:id="13" w:name="_Toc000013"/>
      <w:r>
        <w:rPr>
          <w:rFonts w:ascii="Times New Roman" w:hAnsi="Times New Roman" w:cs="Times New Roman" w:eastAsia="Times New Roman"/>
          <w:b/>
          <w:i w:val="0"/>
          <w:color w:val="000000"/>
          <w:sz w:val="28"/>
        </w:rPr>
        <w:t>10. Розробка дерева цілей</w:t>
      </w:r>
      <w:bookmarkEnd w:id="1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Дерево цілей подано на одній схемі (рис. 1.3): генеральна мета розміщена вгорі, а гілки розгортаються зліва направо — цілі першого рівня, вимірювані цілі другого рівня і заходи третього рівня. Суцільна рамка заходу означає обов’язковий елемент (зв’язок «і»), пунктирна — альтернативний варіант (зв’язок «або»), з яких на етапі проєктування обирається один.</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Гілка 1 «Повна та достовірна обізнаність про повітряну обстановку» забезпечує інформаційну основу: без суцільного покриття, єдиного формату даних і достовірних треків неможливі подальші рішення. Гілка 2 «Своєчасна нейтралізація повітряних загроз» скорочує час реакції; альтернативи 2.1.1а і 2.1.1б задають два рівні автоматизації вибору розрахунку, причому в обох остаточне рішення залишається за людиною. Гілка 3 «Безпека дружньої авіації та населення» обмежує застосування сил: звірка з планами польотів, зони заборони ураження і правило двох осіб. Гілка 4 «Постійна готовність сил і засобів» охоплює облік розрахунків, перехоплювачів, АКБ і запасів. Гілка 5 «Стійка та захищена робота системи» забезпечує кіберзахист, доступність (альтернативи 5.2.1а і 5.2.1б — варіанти резервування ядра) і контур вдосконалення за результатами аналізу.</w:t>
      </w:r>
    </w:p>
    <w:p>
      <w:pPr>
        <w:keepNext/>
        <w:widowControl/>
        <w:spacing w:line="240" w:lineRule="auto" w:before="120" w:after="0"/>
        <w:ind w:firstLine="0" w:left="0"/>
        <w:jc w:val="center"/>
      </w:pPr>
      <w:r>
        <w:drawing>
          <wp:inline xmlns:pic="http://schemas.openxmlformats.org/drawingml/2006/picture">
            <wp:extent cx="5940000" cy="7553757"/>
            <wp:docPr id="3" name="Picture 3"/>
            <wp:cNvGraphicFramePr>
              <a:graphicFrameLocks noChangeAspect="1"/>
            </wp:cNvGraphicFramePr>
            <a:graphic>
              <a:graphicData uri="http://schemas.openxmlformats.org/drawingml/2006/picture">
                <pic:pic>
                  <pic:nvPicPr>
                    <pic:cNvPr id="0" name="03_goal_tree.png"/>
                    <pic:cNvPicPr/>
                  </pic:nvPicPr>
                  <pic:blipFill>
                    <a:blip r:embed="rId16"/>
                    <a:stretch>
                      <a:fillRect/>
                    </a:stretch>
                  </pic:blipFill>
                  <pic:spPr>
                    <a:xfrm>
                      <a:off x="0" y="0"/>
                      <a:ext cx="5940000" cy="7553757"/>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1.3 — Дерево цілей IoT-платформи «Щит-Лінк»</w:t>
      </w:r>
    </w:p>
    <w:p>
      <w:pPr>
        <w:keepNext w:val="0"/>
        <w:widowControl/>
        <w:spacing w:line="240" w:lineRule="auto" w:before="0" w:after="120"/>
        <w:ind w:firstLine="0" w:left="0"/>
        <w:jc w:val="left"/>
      </w:pPr>
      <w:r>
        <w:rPr>
          <w:rFonts w:ascii="Times New Roman" w:hAnsi="Times New Roman" w:cs="Times New Roman" w:eastAsia="Times New Roman"/>
          <w:b w:val="0"/>
          <w:i/>
          <w:color w:val="000000"/>
          <w:sz w:val="24"/>
        </w:rPr>
        <w:t>Суцільна рамка — обов’язковий захід («і»); пунктирна рамка — альтернативний варіант («або»).</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Отримане дерево має чотири рівні (0–3): одну генеральну мету, 5 цілей першого рівня, 15 цілей другого рівня та 30 заходів третього рівня. Вимоги до дерева цілей виконано: цілі кожного рівня порівнянні за масштабом, на другому рівні мають вимірювані показники, підцілі незалежні та разом повністю описують батьківську ціль, а нижній рівень складається із заходів досягнення цілей.</w:t>
      </w:r>
    </w:p>
    <w:p>
      <w:pPr>
        <w:pStyle w:val="140"/>
        <w:keepNext/>
        <w:pageBreakBefore/>
        <w:widowControl/>
        <w:spacing w:line="360" w:lineRule="auto" w:before="120" w:after="120"/>
        <w:ind w:firstLine="709" w:left="0"/>
        <w:jc w:val="left"/>
      </w:pPr>
      <w:bookmarkStart w:id="14" w:name="_Toc000014"/>
      <w:r>
        <w:rPr>
          <w:rFonts w:ascii="Times New Roman" w:hAnsi="Times New Roman" w:cs="Times New Roman" w:eastAsia="Times New Roman"/>
          <w:b/>
          <w:i w:val="0"/>
          <w:color w:val="000000"/>
          <w:sz w:val="28"/>
        </w:rPr>
        <w:t>11. Робоча структура проєкту</w:t>
      </w:r>
      <w:bookmarkEnd w:id="1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Об’єктом WBS-аналізу є проєкт «Створення IoT-платформи „Щит-Лінк“». Проєкт триває з 02.11.2026 до 29.10.2027 (12 місяців) і охоплює стадії створення автоматизованої системи за ГОСТ 34.601-90: формування вимог і технічне завдання, проєктування, розроблення підсистем, введення в дію. Робочу структуру проєкту побудовано за </w:t>
      </w:r>
      <w:r>
        <w:rPr>
          <w:rFonts w:ascii="Times New Roman" w:hAnsi="Times New Roman" w:cs="Times New Roman" w:eastAsia="Times New Roman"/>
          <w:b/>
          <w:i w:val="0"/>
          <w:color w:val="000000"/>
          <w:sz w:val="28"/>
        </w:rPr>
        <w:t>продуктовим принципом</w:t>
      </w:r>
      <w:r>
        <w:rPr>
          <w:rFonts w:ascii="Times New Roman" w:hAnsi="Times New Roman" w:cs="Times New Roman" w:eastAsia="Times New Roman"/>
          <w:b w:val="0"/>
          <w:i w:val="0"/>
          <w:color w:val="000000"/>
          <w:sz w:val="28"/>
        </w:rPr>
        <w:t>: другий рівень утворюють субпроєкти, що відповідають підсистемам платформи, а також інтегровані роботи, спільні для всіх підсистем, — управління проєктом, обстеження, інфраструктура та впровадження. Структура має чотири рівні: 1 — проєкт; 2 — субпроєкти (8); 3 — блоки робіт (20); 4 — робочі пакети (42).</w:t>
      </w:r>
    </w:p>
    <w:p>
      <w:pPr>
        <w:pStyle w:val="140"/>
        <w:keepNext/>
        <w:pageBreakBefore/>
        <w:widowControl/>
        <w:spacing w:line="360" w:lineRule="auto" w:before="120" w:after="120"/>
        <w:ind w:firstLine="709" w:left="0"/>
        <w:jc w:val="left"/>
      </w:pPr>
      <w:bookmarkStart w:id="15" w:name="_Toc000015"/>
      <w:r>
        <w:rPr>
          <w:rFonts w:ascii="Times New Roman" w:hAnsi="Times New Roman" w:cs="Times New Roman" w:eastAsia="Times New Roman"/>
          <w:b/>
          <w:i w:val="0"/>
          <w:color w:val="000000"/>
          <w:sz w:val="28"/>
        </w:rPr>
        <w:t>12. Основні етапи розробки WBS</w:t>
      </w:r>
      <w:bookmarkEnd w:id="1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Застосування шести етапів розробки WBS до проєкту наведено в табл. 1.8.</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1.8 — Етапи розробки WBS проєкту створення «Щит-Лінк»</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046"/>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Етап</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Зміст</w:t>
            </w:r>
          </w:p>
        </w:tc>
        <w:tc>
          <w:tcPr>
            <w:tcW w:type="dxa" w:w="3800"/>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Результат для проєкту</w:t>
            </w:r>
          </w:p>
        </w:tc>
      </w:tr>
      <w:tr>
        <w:trPr>
          <w:cantSplit w:val="true"/>
        </w:trPr>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 Визначення ступеня деталізації</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Роботи деталізуються до рівня, який можна оцінити за тривалістю і вартістю та доручити одному виконавцю</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Робочий пакет тривалістю 10–60 робочих днів (моніторинг проєкту — до 240 днів)</w:t>
            </w:r>
          </w:p>
        </w:tc>
      </w:tr>
      <w:tr>
        <w:trPr>
          <w:cantSplit w:val="true"/>
        </w:trPr>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 Визначення кількості рівнів</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Обирається кількість рівнів, достатня для управління</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Чотири рівні: проєкт — субпроєкт — блок — робочий пакет</w:t>
            </w:r>
          </w:p>
        </w:tc>
      </w:tr>
      <w:tr>
        <w:trPr>
          <w:cantSplit w:val="true"/>
        </w:trPr>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 Розробка структури рівнів</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Формуються горизонтальні рівні за обраним принципом</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8 субпроєктів за продуктовим принципом, 20 блоків, 42 робочі пакети</w:t>
            </w:r>
          </w:p>
        </w:tc>
      </w:tr>
      <w:tr>
        <w:trPr>
          <w:cantSplit w:val="true"/>
        </w:trPr>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 Опис елементів WBS</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Кожному елементу дається стисла назва, визначаються відповідальні</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Таблиці характеристик робочих пакетів (табл. 1.10)</w:t>
            </w:r>
          </w:p>
        </w:tc>
      </w:tr>
      <w:tr>
        <w:trPr>
          <w:cantSplit w:val="true"/>
        </w:trPr>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 Формування системи кодування</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Кодуються всі елементи структури</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Ієрархічні коди 1 / 1.1 / 1.1.1 / 1.1.1.1</w:t>
            </w:r>
          </w:p>
        </w:tc>
      </w:tr>
      <w:tr>
        <w:trPr>
          <w:cantSplit w:val="true"/>
        </w:trPr>
        <w:tc>
          <w:tcPr>
            <w:tcW w:type="dxa" w:w="204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6 Зворотні обчислення</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Витрати агрегуються знизу догори</w:t>
            </w:r>
          </w:p>
        </w:tc>
        <w:tc>
          <w:tcPr>
            <w:tcW w:type="dxa" w:w="380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Бюджет субпроєктів і проєкту 29 330 тис. грн (табл. 1.11)</w:t>
            </w:r>
          </w:p>
        </w:tc>
      </w:tr>
    </w:tbl>
    <w:p>
      <w:pPr>
        <w:pStyle w:val="140"/>
        <w:keepNext/>
        <w:pageBreakBefore/>
        <w:widowControl/>
        <w:spacing w:line="360" w:lineRule="auto" w:before="120" w:after="120"/>
        <w:ind w:firstLine="709" w:left="0"/>
        <w:jc w:val="left"/>
      </w:pPr>
      <w:bookmarkStart w:id="16" w:name="_Toc000016"/>
      <w:r>
        <w:rPr>
          <w:rFonts w:ascii="Times New Roman" w:hAnsi="Times New Roman" w:cs="Times New Roman" w:eastAsia="Times New Roman"/>
          <w:b/>
          <w:i w:val="0"/>
          <w:color w:val="000000"/>
          <w:sz w:val="28"/>
        </w:rPr>
        <w:t>13. Аналіз характеристик проєкту</w:t>
      </w:r>
      <w:bookmarkEnd w:id="1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Основні характеристики проєкту, аналогічні характеристикам робочого пакета, подано в табл. 1.9, характеристики робочих пакетів — у табл. 1.10, а результати зворотних обчислень бюджету за субпроєктами — у табл. 1.11.</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1.9 — Основні характеристики проєкту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77"/>
        <w:gridCol w:w="4677"/>
      </w:tblGrid>
      <w:tr>
        <w:trPr>
          <w:tblHeader w:val="true"/>
          <w:cantSplit w:val="true"/>
        </w:trPr>
        <w:tc>
          <w:tcPr>
            <w:tcW w:type="dxa" w:w="2716"/>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Характеристика</w:t>
            </w:r>
          </w:p>
        </w:tc>
        <w:tc>
          <w:tcPr>
            <w:tcW w:type="dxa" w:w="663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Опис</w:t>
            </w:r>
          </w:p>
        </w:tc>
      </w:tr>
      <w:tr>
        <w:trPr>
          <w:cantSplit w:val="true"/>
        </w:trPr>
        <w:tc>
          <w:tcPr>
            <w:tcW w:type="dxa" w:w="27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Обсяг і перелік робіт</w:t>
            </w:r>
          </w:p>
        </w:tc>
        <w:tc>
          <w:tcPr>
            <w:tcW w:type="dxa" w:w="66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1.1 Управління проєктом;</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1.2 Обстеження та формування вимог;</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1.3 Підсистема збору телеметрії;</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1.4 Підсистема ситуаційної обізнаності;</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1.5 Підсистема координації перехоплення;</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1.6 Підсистема ресурсів, аналітики та звітності;</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1.7 Інфраструктура та кібербезпека;</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1.8 Впровадження.</w:t>
            </w:r>
          </w:p>
        </w:tc>
      </w:tr>
      <w:tr>
        <w:trPr>
          <w:cantSplit w:val="true"/>
        </w:trPr>
        <w:tc>
          <w:tcPr>
            <w:tcW w:type="dxa" w:w="27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Відповідальний за виконання</w:t>
            </w:r>
          </w:p>
        </w:tc>
        <w:tc>
          <w:tcPr>
            <w:tcW w:type="dxa" w:w="66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Керівник проєкту; відповідальні за субпроєкти визначені в табл. 1.11; замовник — начальник умовного РЦПДО «Щит-Північ»</w:t>
            </w:r>
          </w:p>
        </w:tc>
      </w:tr>
      <w:tr>
        <w:trPr>
          <w:cantSplit w:val="true"/>
        </w:trPr>
        <w:tc>
          <w:tcPr>
            <w:tcW w:type="dxa" w:w="27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Бюджет</w:t>
            </w:r>
          </w:p>
        </w:tc>
        <w:tc>
          <w:tcPr>
            <w:tcW w:type="dxa" w:w="66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29 330 тис. грн (умовна оцінка), у тому числі обладнання периферійних шлюзів і ЦОД 5 400 тис. грн</w:t>
            </w:r>
          </w:p>
        </w:tc>
      </w:tr>
      <w:tr>
        <w:trPr>
          <w:cantSplit w:val="true"/>
        </w:trPr>
        <w:tc>
          <w:tcPr>
            <w:tcW w:type="dxa" w:w="27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Потрібні ресурси</w:t>
            </w:r>
          </w:p>
        </w:tc>
        <w:tc>
          <w:tcPr>
            <w:tcW w:type="dxa" w:w="66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людські: керівник проєкту, бізнес- і системний аналітики, архітектор, 8 розробників, аналітик даних, інженери IoT і з розгортання, офіцер кібербезпеки, інженер з якості, інструктор;</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технічні: 9 периферійних шлюзів, обладнання основного та резервного ЦОД, тестовий стенд із симулятором сенсорів і перехоплювачів;</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4"/>
              </w:rPr>
              <w:t>фінансові: згідно з бюджетом</w:t>
            </w:r>
          </w:p>
        </w:tc>
      </w:tr>
      <w:tr>
        <w:trPr>
          <w:cantSplit w:val="true"/>
        </w:trPr>
        <w:tc>
          <w:tcPr>
            <w:tcW w:type="dxa" w:w="271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Дати початку і кінця</w:t>
            </w:r>
          </w:p>
        </w:tc>
        <w:tc>
          <w:tcPr>
            <w:tcW w:type="dxa" w:w="663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Початок — 02.11.2026; завершення — 29.10.2027; дослідна експлуатація — 60 робочих днів</w:t>
            </w:r>
          </w:p>
        </w:tc>
      </w:tr>
    </w:tbl>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1.10 — Характеристики робочих пакетів проєкту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101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338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Робочий пакет</w:t>
            </w:r>
          </w:p>
        </w:tc>
        <w:tc>
          <w:tcPr>
            <w:tcW w:type="dxa" w:w="219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Відповідальний</w:t>
            </w:r>
          </w:p>
        </w:tc>
        <w:tc>
          <w:tcPr>
            <w:tcW w:type="dxa" w:w="152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Тривалість, роб. дн.</w:t>
            </w:r>
          </w:p>
        </w:tc>
        <w:tc>
          <w:tcPr>
            <w:tcW w:type="dxa" w:w="124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Бюджет, тис. грн</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1.1.1.1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Розроблення плану проєкту та WBS</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Керівник проєкту</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1.1.1.2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Моніторинг виконання та звітність</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Керівник проєкту</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240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900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1.1.2.1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Реєстр ризиків і план реагування</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Керівник проєкту</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1.1.2.2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Контроль якості та приймання результатів</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 з якості</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1.2.1.1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Обстеження діяльності центру та сенсорної мережі</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Бізнес-аналітик</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1.2.1.2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Моделювання бізнес-процесів «як є» та «як має бути»</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Бізнес-аналітик</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1.2.2.1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Розроблення та погодження ТЗ за ГОСТ 34.602-89</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Системний аналітик</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1.2.2.2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Концепція архітектури та вимоги безпеки</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Архітектор рішення</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280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1.3.1.1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Постачання та налаштування 9 периферійних шлюзів</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 IoT</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1 800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1.3.1.2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Буферизація даних з відкладеною передачею</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1.3.2.1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Адаптер MQTT для акустичних сенсорів</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1.3.2.2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Адаптер ASTERIX для РЛС</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700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1.3.2.3</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Адаптер MAVLink 2 для наземних станцій управління</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700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1.3.3.1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Реєстр сенсорів і перехоплювачів</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1.3.3.2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Моніторинг стану пристроїв і сповіщення про збої</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1.4.1.1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Сервіс злиття виявлень у треки</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1 600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1.4.1.2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Прогноз траєкторій і часу підльоту</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1.4.2.1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Модель класифікації повітряних цілей</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даних</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1 400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1.4.2.2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Розрахунок пріоритету загрози</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1.4.3.1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Мнемосхема повітряної обстановки</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інтерфейсів</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1.4.3.2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Черга загроз і картка треку</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інтерфейсів</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1.5.1.1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Підбір розрахунку-кандидата</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1.5.1.2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Санкціонування пуску за правилом двох осіб</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1.5.2.1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Машина станів місії та журнал подій</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750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1.5.2.2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Застосунок планшета розрахунку</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мобільних застосунків</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1 200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1.5.3.1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Імпорт планів польотів дружньої авіації</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300</w:t>
            </w:r>
          </w:p>
        </w:tc>
      </w:tr>
      <w:tr>
        <w:trPr>
          <w:cantSplit w:val="true"/>
        </w:trPr>
        <w:tc>
          <w:tcPr>
            <w:tcW w:type="dxa" w:w="101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1.5.3.2</w:t>
            </w:r>
          </w:p>
        </w:tc>
        <w:tc>
          <w:tcPr>
            <w:tcW w:type="dxa" w:w="338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Контроль зон заборони ураження</w:t>
            </w:r>
          </w:p>
        </w:tc>
        <w:tc>
          <w:tcPr>
            <w:tcW w:type="dxa" w:w="219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w:t>
            </w:r>
          </w:p>
        </w:tc>
        <w:tc>
          <w:tcPr>
            <w:tcW w:type="dxa" w:w="124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300</w:t>
            </w:r>
          </w:p>
        </w:tc>
      </w:tr>
    </w:tbl>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Продовження таблиці 1.10</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101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338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Робочий пакет</w:t>
            </w:r>
          </w:p>
        </w:tc>
        <w:tc>
          <w:tcPr>
            <w:tcW w:type="dxa" w:w="219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Відповідальний</w:t>
            </w:r>
          </w:p>
        </w:tc>
        <w:tc>
          <w:tcPr>
            <w:tcW w:type="dxa" w:w="152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Тривалість, роб. дн.</w:t>
            </w:r>
          </w:p>
        </w:tc>
        <w:tc>
          <w:tcPr>
            <w:tcW w:type="dxa" w:w="124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Бюджет, тис. грн</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1.6.1.1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Облік готовності розрахунків</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1.6.1.2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Облік перехоплювачів, АКБ і запасів</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1.6.2.1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Автоматичні звіти про перехоплення</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Розробник ПЗ</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1.6.2.2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Панель КПЕ та відтворення місій</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даних</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1.7.1.1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Розгортання основного та резервного ЦОД</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 з розгортання</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3 600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1.7.1.2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Шина подій і сховища даних</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 з розгортання</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900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1.7.2.1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Інфраструктура відкритих ключів, mTLS і керування доступом</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Офіцер кібербезпеки</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1.7.2.2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Журнал аудиту і моніторинг подій безпеки</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Офіцер кібербезпеки</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1.7.2.3</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Створення КСЗІ та її державна експертиза</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Офіцер кібербезпеки</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1 500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1.8.1.1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Попередні автономні та комплексні випробування</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 з якості</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1.8.1.2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Дослідна експлуатація</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КП</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900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1.8.2.1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Навчання операторів та адміністраторів</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Інструктор</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1.8.2.2</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Експлуатаційна документація</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Технічний письменник</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350</w:t>
            </w:r>
          </w:p>
        </w:tc>
      </w:tr>
      <w:tr>
        <w:trPr>
          <w:cantSplit w:val="true"/>
        </w:trPr>
        <w:tc>
          <w:tcPr>
            <w:tcW w:type="dxa" w:w="10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1.8.3.1</w:t>
            </w:r>
          </w:p>
        </w:tc>
        <w:tc>
          <w:tcPr>
            <w:tcW w:type="dxa" w:w="3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Приймальні випробування</w:t>
            </w:r>
          </w:p>
        </w:tc>
        <w:tc>
          <w:tcPr>
            <w:tcW w:type="dxa" w:w="21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Керівник проєкту</w:t>
            </w:r>
          </w:p>
        </w:tc>
        <w:tc>
          <w:tcPr>
            <w:tcW w:type="dxa" w:w="152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w:t>
            </w:r>
          </w:p>
        </w:tc>
        <w:tc>
          <w:tcPr>
            <w:tcW w:type="dxa" w:w="124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180</w:t>
            </w:r>
          </w:p>
        </w:tc>
      </w:tr>
      <w:tr>
        <w:trPr>
          <w:cantSplit w:val="true"/>
        </w:trPr>
        <w:tc>
          <w:tcPr>
            <w:tcW w:type="dxa" w:w="101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1.8.3.2</w:t>
            </w:r>
          </w:p>
        </w:tc>
        <w:tc>
          <w:tcPr>
            <w:tcW w:type="dxa" w:w="338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Введення в постійну експлуатацію</w:t>
            </w:r>
          </w:p>
        </w:tc>
        <w:tc>
          <w:tcPr>
            <w:tcW w:type="dxa" w:w="219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Керівник проєкту</w:t>
            </w:r>
          </w:p>
        </w:tc>
        <w:tc>
          <w:tcPr>
            <w:tcW w:type="dxa" w:w="152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24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120</w:t>
            </w:r>
          </w:p>
        </w:tc>
      </w:tr>
    </w:tbl>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1.11 — Зворотні обчислення бюджету за субпроєктами</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36"/>
        <w:gridCol w:w="1336"/>
        <w:gridCol w:w="1336"/>
        <w:gridCol w:w="1336"/>
        <w:gridCol w:w="1336"/>
        <w:gridCol w:w="1336"/>
        <w:gridCol w:w="1336"/>
      </w:tblGrid>
      <w:tr>
        <w:trPr>
          <w:tblHeader w:val="true"/>
          <w:cantSplit w:val="true"/>
        </w:trPr>
        <w:tc>
          <w:tcPr>
            <w:tcW w:type="dxa" w:w="61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224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Субпроєкт</w:t>
            </w:r>
          </w:p>
        </w:tc>
        <w:tc>
          <w:tcPr>
            <w:tcW w:type="dxa" w:w="201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Відповідальний</w:t>
            </w:r>
          </w:p>
        </w:tc>
        <w:tc>
          <w:tcPr>
            <w:tcW w:type="dxa" w:w="78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К-сть РП</w:t>
            </w:r>
          </w:p>
        </w:tc>
        <w:tc>
          <w:tcPr>
            <w:tcW w:type="dxa" w:w="1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Терміни</w:t>
            </w:r>
          </w:p>
        </w:tc>
        <w:tc>
          <w:tcPr>
            <w:tcW w:type="dxa" w:w="117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Бюджет, тис. грн</w:t>
            </w:r>
          </w:p>
        </w:tc>
        <w:tc>
          <w:tcPr>
            <w:tcW w:type="dxa" w:w="106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Частка, %</w:t>
            </w:r>
          </w:p>
        </w:tc>
      </w:tr>
      <w:tr>
        <w:trPr>
          <w:cantSplit w:val="true"/>
        </w:trPr>
        <w:tc>
          <w:tcPr>
            <w:tcW w:type="dxa" w:w="6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1.1</w:t>
            </w:r>
          </w:p>
        </w:tc>
        <w:tc>
          <w:tcPr>
            <w:tcW w:type="dxa" w:w="22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Управління проєктом</w:t>
            </w:r>
          </w:p>
        </w:tc>
        <w:tc>
          <w:tcPr>
            <w:tcW w:type="dxa" w:w="20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Керівник проєкту</w:t>
            </w:r>
          </w:p>
        </w:tc>
        <w:tc>
          <w:tcPr>
            <w:tcW w:type="dxa" w:w="78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02.11.2026 –</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2"/>
              </w:rPr>
              <w:t>29.10.2027</w:t>
            </w:r>
          </w:p>
        </w:tc>
        <w:tc>
          <w:tcPr>
            <w:tcW w:type="dxa" w:w="117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1 700</w:t>
            </w:r>
          </w:p>
        </w:tc>
        <w:tc>
          <w:tcPr>
            <w:tcW w:type="dxa" w:w="106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5,8</w:t>
            </w:r>
          </w:p>
        </w:tc>
      </w:tr>
      <w:tr>
        <w:trPr>
          <w:cantSplit w:val="true"/>
        </w:trPr>
        <w:tc>
          <w:tcPr>
            <w:tcW w:type="dxa" w:w="6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w:t>
            </w:r>
          </w:p>
        </w:tc>
        <w:tc>
          <w:tcPr>
            <w:tcW w:type="dxa" w:w="22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Обстеження та формування вимог</w:t>
            </w:r>
          </w:p>
        </w:tc>
        <w:tc>
          <w:tcPr>
            <w:tcW w:type="dxa" w:w="20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Провідний бізнес-аналітик</w:t>
            </w:r>
          </w:p>
        </w:tc>
        <w:tc>
          <w:tcPr>
            <w:tcW w:type="dxa" w:w="78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02.11.2026 –</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2"/>
              </w:rPr>
              <w:t>29.01.2027</w:t>
            </w:r>
          </w:p>
        </w:tc>
        <w:tc>
          <w:tcPr>
            <w:tcW w:type="dxa" w:w="117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1 330</w:t>
            </w:r>
          </w:p>
        </w:tc>
        <w:tc>
          <w:tcPr>
            <w:tcW w:type="dxa" w:w="106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4,5</w:t>
            </w:r>
          </w:p>
        </w:tc>
      </w:tr>
      <w:tr>
        <w:trPr>
          <w:cantSplit w:val="true"/>
        </w:trPr>
        <w:tc>
          <w:tcPr>
            <w:tcW w:type="dxa" w:w="6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1.3</w:t>
            </w:r>
          </w:p>
        </w:tc>
        <w:tc>
          <w:tcPr>
            <w:tcW w:type="dxa" w:w="22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Підсистема збору телеметрії</w:t>
            </w:r>
          </w:p>
        </w:tc>
        <w:tc>
          <w:tcPr>
            <w:tcW w:type="dxa" w:w="20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Провідний інженер IoT</w:t>
            </w:r>
          </w:p>
        </w:tc>
        <w:tc>
          <w:tcPr>
            <w:tcW w:type="dxa" w:w="78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7</w:t>
            </w:r>
          </w:p>
        </w:tc>
        <w:tc>
          <w:tcPr>
            <w:tcW w:type="dxa" w:w="1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01.02.2027 –</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2"/>
              </w:rPr>
              <w:t>28.05.2027</w:t>
            </w:r>
          </w:p>
        </w:tc>
        <w:tc>
          <w:tcPr>
            <w:tcW w:type="dxa" w:w="117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4 900</w:t>
            </w:r>
          </w:p>
        </w:tc>
        <w:tc>
          <w:tcPr>
            <w:tcW w:type="dxa" w:w="106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16,7</w:t>
            </w:r>
          </w:p>
        </w:tc>
      </w:tr>
      <w:tr>
        <w:trPr>
          <w:cantSplit w:val="true"/>
        </w:trPr>
        <w:tc>
          <w:tcPr>
            <w:tcW w:type="dxa" w:w="6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1.4</w:t>
            </w:r>
          </w:p>
        </w:tc>
        <w:tc>
          <w:tcPr>
            <w:tcW w:type="dxa" w:w="22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Підсистема ситуаційної обізнаності</w:t>
            </w:r>
          </w:p>
        </w:tc>
        <w:tc>
          <w:tcPr>
            <w:tcW w:type="dxa" w:w="20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Архітектор рішення</w:t>
            </w:r>
          </w:p>
        </w:tc>
        <w:tc>
          <w:tcPr>
            <w:tcW w:type="dxa" w:w="78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w:t>
            </w:r>
          </w:p>
        </w:tc>
        <w:tc>
          <w:tcPr>
            <w:tcW w:type="dxa" w:w="1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01.02.2027 –</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2"/>
              </w:rPr>
              <w:t>30.06.2027</w:t>
            </w:r>
          </w:p>
        </w:tc>
        <w:tc>
          <w:tcPr>
            <w:tcW w:type="dxa" w:w="117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5 350</w:t>
            </w:r>
          </w:p>
        </w:tc>
        <w:tc>
          <w:tcPr>
            <w:tcW w:type="dxa" w:w="106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18,2</w:t>
            </w:r>
          </w:p>
        </w:tc>
      </w:tr>
      <w:tr>
        <w:trPr>
          <w:cantSplit w:val="true"/>
        </w:trPr>
        <w:tc>
          <w:tcPr>
            <w:tcW w:type="dxa" w:w="6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w:t>
            </w:r>
          </w:p>
        </w:tc>
        <w:tc>
          <w:tcPr>
            <w:tcW w:type="dxa" w:w="22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Підсистема координації перехоплення</w:t>
            </w:r>
          </w:p>
        </w:tc>
        <w:tc>
          <w:tcPr>
            <w:tcW w:type="dxa" w:w="20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Керівник групи розробки</w:t>
            </w:r>
          </w:p>
        </w:tc>
        <w:tc>
          <w:tcPr>
            <w:tcW w:type="dxa" w:w="78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w:t>
            </w:r>
          </w:p>
        </w:tc>
        <w:tc>
          <w:tcPr>
            <w:tcW w:type="dxa" w:w="1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01.03.2027 –</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2"/>
              </w:rPr>
              <w:t>30.06.2027</w:t>
            </w:r>
          </w:p>
        </w:tc>
        <w:tc>
          <w:tcPr>
            <w:tcW w:type="dxa" w:w="117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3 800</w:t>
            </w:r>
          </w:p>
        </w:tc>
        <w:tc>
          <w:tcPr>
            <w:tcW w:type="dxa" w:w="106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13,0</w:t>
            </w:r>
          </w:p>
        </w:tc>
      </w:tr>
      <w:tr>
        <w:trPr>
          <w:cantSplit w:val="true"/>
        </w:trPr>
        <w:tc>
          <w:tcPr>
            <w:tcW w:type="dxa" w:w="6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w:t>
            </w:r>
          </w:p>
        </w:tc>
        <w:tc>
          <w:tcPr>
            <w:tcW w:type="dxa" w:w="22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Підсистема ресурсів, аналітики та звітності</w:t>
            </w:r>
          </w:p>
        </w:tc>
        <w:tc>
          <w:tcPr>
            <w:tcW w:type="dxa" w:w="20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Провідний аналітик даних</w:t>
            </w:r>
          </w:p>
        </w:tc>
        <w:tc>
          <w:tcPr>
            <w:tcW w:type="dxa" w:w="78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03.05.2027 –</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2"/>
              </w:rPr>
              <w:t>30.07.2027</w:t>
            </w:r>
          </w:p>
        </w:tc>
        <w:tc>
          <w:tcPr>
            <w:tcW w:type="dxa" w:w="117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2 200</w:t>
            </w:r>
          </w:p>
        </w:tc>
        <w:tc>
          <w:tcPr>
            <w:tcW w:type="dxa" w:w="106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7,5</w:t>
            </w:r>
          </w:p>
        </w:tc>
      </w:tr>
      <w:tr>
        <w:trPr>
          <w:cantSplit w:val="true"/>
        </w:trPr>
        <w:tc>
          <w:tcPr>
            <w:tcW w:type="dxa" w:w="6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1.7</w:t>
            </w:r>
          </w:p>
        </w:tc>
        <w:tc>
          <w:tcPr>
            <w:tcW w:type="dxa" w:w="22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Інфраструктура та кібербезпека</w:t>
            </w:r>
          </w:p>
        </w:tc>
        <w:tc>
          <w:tcPr>
            <w:tcW w:type="dxa" w:w="20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служби зв’язку та ІТ</w:t>
            </w:r>
          </w:p>
        </w:tc>
        <w:tc>
          <w:tcPr>
            <w:tcW w:type="dxa" w:w="78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01.02.2027 –</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2"/>
              </w:rPr>
              <w:t>30.07.2027</w:t>
            </w:r>
          </w:p>
        </w:tc>
        <w:tc>
          <w:tcPr>
            <w:tcW w:type="dxa" w:w="117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7 450</w:t>
            </w:r>
          </w:p>
        </w:tc>
        <w:tc>
          <w:tcPr>
            <w:tcW w:type="dxa" w:w="106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25,4</w:t>
            </w:r>
          </w:p>
        </w:tc>
      </w:tr>
      <w:tr>
        <w:trPr>
          <w:cantSplit w:val="true"/>
        </w:trPr>
        <w:tc>
          <w:tcPr>
            <w:tcW w:type="dxa" w:w="6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w:t>
            </w:r>
          </w:p>
        </w:tc>
        <w:tc>
          <w:tcPr>
            <w:tcW w:type="dxa" w:w="224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Впровадження</w:t>
            </w:r>
          </w:p>
        </w:tc>
        <w:tc>
          <w:tcPr>
            <w:tcW w:type="dxa" w:w="20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Керівник проєкту</w:t>
            </w:r>
          </w:p>
        </w:tc>
        <w:tc>
          <w:tcPr>
            <w:tcW w:type="dxa" w:w="78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w:t>
            </w:r>
          </w:p>
        </w:tc>
        <w:tc>
          <w:tcPr>
            <w:tcW w:type="dxa" w:w="1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02.08.2027 –</w:t>
            </w:r>
          </w:p>
          <w:p>
            <w:pPr>
              <w:keepNext/>
              <w:widowControl/>
              <w:spacing w:line="240" w:lineRule="auto" w:before="0" w:after="0"/>
              <w:ind w:firstLine="0" w:left="0"/>
              <w:jc w:val="left"/>
            </w:pPr>
            <w:r>
              <w:rPr>
                <w:rFonts w:ascii="Times New Roman" w:hAnsi="Times New Roman" w:cs="Times New Roman" w:eastAsia="Times New Roman"/>
                <w:b w:val="0"/>
                <w:i w:val="0"/>
                <w:color w:val="000000"/>
                <w:sz w:val="22"/>
              </w:rPr>
              <w:t>29.10.2027</w:t>
            </w:r>
          </w:p>
        </w:tc>
        <w:tc>
          <w:tcPr>
            <w:tcW w:type="dxa" w:w="117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2 600</w:t>
            </w:r>
          </w:p>
        </w:tc>
        <w:tc>
          <w:tcPr>
            <w:tcW w:type="dxa" w:w="106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8,9</w:t>
            </w:r>
          </w:p>
        </w:tc>
      </w:tr>
      <w:tr>
        <w:trPr>
          <w:cantSplit w:val="true"/>
        </w:trPr>
        <w:tc>
          <w:tcPr>
            <w:tcW w:type="dxa" w:w="61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2241"/>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Разом за проєктом</w:t>
            </w:r>
          </w:p>
        </w:tc>
        <w:tc>
          <w:tcPr>
            <w:tcW w:type="dxa" w:w="201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Керівник проєкту</w:t>
            </w:r>
          </w:p>
        </w:tc>
        <w:tc>
          <w:tcPr>
            <w:tcW w:type="dxa" w:w="78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42</w:t>
            </w:r>
          </w:p>
        </w:tc>
        <w:tc>
          <w:tcPr>
            <w:tcW w:type="dxa" w:w="1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02.11.2026 –</w:t>
            </w:r>
          </w:p>
          <w:p>
            <w:pPr>
              <w:keepNext w:val="0"/>
              <w:widowControl/>
              <w:spacing w:line="240" w:lineRule="auto" w:before="0" w:after="0"/>
              <w:ind w:firstLine="0" w:left="0"/>
              <w:jc w:val="left"/>
            </w:pPr>
            <w:r>
              <w:rPr>
                <w:rFonts w:ascii="Times New Roman" w:hAnsi="Times New Roman" w:cs="Times New Roman" w:eastAsia="Times New Roman"/>
                <w:b w:val="0"/>
                <w:i w:val="0"/>
                <w:color w:val="000000"/>
                <w:sz w:val="22"/>
              </w:rPr>
              <w:t>29.10.2027</w:t>
            </w:r>
          </w:p>
        </w:tc>
        <w:tc>
          <w:tcPr>
            <w:tcW w:type="dxa" w:w="1176"/>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29 330</w:t>
            </w:r>
          </w:p>
        </w:tc>
        <w:tc>
          <w:tcPr>
            <w:tcW w:type="dxa" w:w="106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100,0</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Найбільшу частку бюджету становлять субпроєкти «Інфраструктура та кібербезпека», «Підсистема ситуаційної обізнаності» та «Підсистема збору телеметрії», що пояснюється вартістю обладнання та трудомісткістю розроблення сервісів реального часу. Критичними за термінами є підсистеми ситуаційної обізнаності та координації перехоплення: їх завершення до 30.06.2027 є передумовою для комплексних випробувань і дослідної експлуатації.</w:t>
      </w:r>
    </w:p>
    <w:p>
      <w:pPr>
        <w:pStyle w:val="140"/>
        <w:keepNext/>
        <w:pageBreakBefore/>
        <w:widowControl/>
        <w:spacing w:line="360" w:lineRule="auto" w:before="120" w:after="120"/>
        <w:ind w:firstLine="709" w:left="0"/>
        <w:jc w:val="left"/>
      </w:pPr>
      <w:bookmarkStart w:id="17" w:name="_Toc000017"/>
      <w:r>
        <w:rPr>
          <w:rFonts w:ascii="Times New Roman" w:hAnsi="Times New Roman" w:cs="Times New Roman" w:eastAsia="Times New Roman"/>
          <w:b/>
          <w:i w:val="0"/>
          <w:color w:val="000000"/>
          <w:sz w:val="28"/>
        </w:rPr>
        <w:t>14. Схематичне WBS-зображення проєкту</w:t>
      </w:r>
      <w:bookmarkEnd w:id="1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Верхній рівень робочої структури проєкту (рівні 1–2) подано на рис. 1.4. Деталізацію субпроєктів до робочих пакетів подано на рис. 1.5–1.10; субпроєкти згруповано так, щоб кожен рисунок залишався читабельним.</w:t>
      </w:r>
    </w:p>
    <w:p>
      <w:pPr>
        <w:keepNext/>
        <w:widowControl/>
        <w:spacing w:line="240" w:lineRule="auto" w:before="120" w:after="0"/>
        <w:ind w:firstLine="0" w:left="0"/>
        <w:jc w:val="center"/>
      </w:pPr>
      <w:r>
        <w:drawing>
          <wp:inline xmlns:pic="http://schemas.openxmlformats.org/drawingml/2006/picture">
            <wp:extent cx="4651200" cy="7488102"/>
            <wp:docPr id="4" name="Picture 4"/>
            <wp:cNvGraphicFramePr>
              <a:graphicFrameLocks noChangeAspect="1"/>
            </wp:cNvGraphicFramePr>
            <a:graphic>
              <a:graphicData uri="http://schemas.openxmlformats.org/drawingml/2006/picture">
                <pic:pic>
                  <pic:nvPicPr>
                    <pic:cNvPr id="0" name="09_wbs_overview.png"/>
                    <pic:cNvPicPr/>
                  </pic:nvPicPr>
                  <pic:blipFill>
                    <a:blip r:embed="rId17"/>
                    <a:stretch>
                      <a:fillRect/>
                    </a:stretch>
                  </pic:blipFill>
                  <pic:spPr>
                    <a:xfrm>
                      <a:off x="0" y="0"/>
                      <a:ext cx="4651200" cy="7488102"/>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1.4 — Робоча структура проєкту «Створення IoT-платформи „Щит-Лінк“»: рівні 1–2</w:t>
      </w:r>
    </w:p>
    <w:p>
      <w:pPr>
        <w:keepNext/>
        <w:widowControl/>
        <w:spacing w:line="240" w:lineRule="auto" w:before="120" w:after="0"/>
        <w:ind w:firstLine="0" w:left="0"/>
        <w:jc w:val="center"/>
      </w:pPr>
      <w:r>
        <w:drawing>
          <wp:inline xmlns:pic="http://schemas.openxmlformats.org/drawingml/2006/picture">
            <wp:extent cx="5644800" cy="8091624"/>
            <wp:docPr id="5" name="Picture 5"/>
            <wp:cNvGraphicFramePr>
              <a:graphicFrameLocks noChangeAspect="1"/>
            </wp:cNvGraphicFramePr>
            <a:graphic>
              <a:graphicData uri="http://schemas.openxmlformats.org/drawingml/2006/picture">
                <pic:pic>
                  <pic:nvPicPr>
                    <pic:cNvPr id="0" name="10_wbs_1_1_1_2.png"/>
                    <pic:cNvPicPr/>
                  </pic:nvPicPr>
                  <pic:blipFill>
                    <a:blip r:embed="rId18"/>
                    <a:stretch>
                      <a:fillRect/>
                    </a:stretch>
                  </pic:blipFill>
                  <pic:spPr>
                    <a:xfrm>
                      <a:off x="0" y="0"/>
                      <a:ext cx="5644800" cy="8091624"/>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1.5 — WBS: субпроєкти 1.1 «Управління проєктом» і 1.2 «Обстеження та формування вимог» (рівні 2–4)</w:t>
      </w:r>
    </w:p>
    <w:p>
      <w:pPr>
        <w:keepNext/>
        <w:widowControl/>
        <w:spacing w:line="240" w:lineRule="auto" w:before="120" w:after="0"/>
        <w:ind w:firstLine="0" w:left="0"/>
        <w:jc w:val="center"/>
      </w:pPr>
      <w:r>
        <w:drawing>
          <wp:inline xmlns:pic="http://schemas.openxmlformats.org/drawingml/2006/picture">
            <wp:extent cx="5940000" cy="7620824"/>
            <wp:docPr id="6" name="Picture 6"/>
            <wp:cNvGraphicFramePr>
              <a:graphicFrameLocks noChangeAspect="1"/>
            </wp:cNvGraphicFramePr>
            <a:graphic>
              <a:graphicData uri="http://schemas.openxmlformats.org/drawingml/2006/picture">
                <pic:pic>
                  <pic:nvPicPr>
                    <pic:cNvPr id="0" name="11_wbs_1_3.png"/>
                    <pic:cNvPicPr/>
                  </pic:nvPicPr>
                  <pic:blipFill>
                    <a:blip r:embed="rId19"/>
                    <a:stretch>
                      <a:fillRect/>
                    </a:stretch>
                  </pic:blipFill>
                  <pic:spPr>
                    <a:xfrm>
                      <a:off x="0" y="0"/>
                      <a:ext cx="5940000" cy="7620824"/>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1.6 — WBS: субпроєкт 1.3 «Підсистема збору телеметрії» (рівні 2–4)</w:t>
      </w:r>
    </w:p>
    <w:p>
      <w:pPr>
        <w:keepNext/>
        <w:widowControl/>
        <w:spacing w:line="240" w:lineRule="auto" w:before="120" w:after="0"/>
        <w:ind w:firstLine="0" w:left="0"/>
        <w:jc w:val="center"/>
      </w:pPr>
      <w:r>
        <w:drawing>
          <wp:inline xmlns:pic="http://schemas.openxmlformats.org/drawingml/2006/picture">
            <wp:extent cx="5900400" cy="6189231"/>
            <wp:docPr id="7" name="Picture 7"/>
            <wp:cNvGraphicFramePr>
              <a:graphicFrameLocks noChangeAspect="1"/>
            </wp:cNvGraphicFramePr>
            <a:graphic>
              <a:graphicData uri="http://schemas.openxmlformats.org/drawingml/2006/picture">
                <pic:pic>
                  <pic:nvPicPr>
                    <pic:cNvPr id="0" name="12_wbs_1_4.png"/>
                    <pic:cNvPicPr/>
                  </pic:nvPicPr>
                  <pic:blipFill>
                    <a:blip r:embed="rId20"/>
                    <a:stretch>
                      <a:fillRect/>
                    </a:stretch>
                  </pic:blipFill>
                  <pic:spPr>
                    <a:xfrm>
                      <a:off x="0" y="0"/>
                      <a:ext cx="5900400" cy="6189231"/>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1.7 — WBS: субпроєкт 1.4 «Підсистема ситуаційної обізнаності» (рівні 2–4)</w:t>
      </w:r>
    </w:p>
    <w:p>
      <w:pPr>
        <w:keepNext/>
        <w:widowControl/>
        <w:spacing w:line="240" w:lineRule="auto" w:before="120" w:after="0"/>
        <w:ind w:firstLine="0" w:left="0"/>
        <w:jc w:val="center"/>
      </w:pPr>
      <w:r>
        <w:drawing>
          <wp:inline xmlns:pic="http://schemas.openxmlformats.org/drawingml/2006/picture">
            <wp:extent cx="5940000" cy="6127923"/>
            <wp:docPr id="8" name="Picture 8"/>
            <wp:cNvGraphicFramePr>
              <a:graphicFrameLocks noChangeAspect="1"/>
            </wp:cNvGraphicFramePr>
            <a:graphic>
              <a:graphicData uri="http://schemas.openxmlformats.org/drawingml/2006/picture">
                <pic:pic>
                  <pic:nvPicPr>
                    <pic:cNvPr id="0" name="13_wbs_1_5.png"/>
                    <pic:cNvPicPr/>
                  </pic:nvPicPr>
                  <pic:blipFill>
                    <a:blip r:embed="rId21"/>
                    <a:stretch>
                      <a:fillRect/>
                    </a:stretch>
                  </pic:blipFill>
                  <pic:spPr>
                    <a:xfrm>
                      <a:off x="0" y="0"/>
                      <a:ext cx="5940000" cy="6127923"/>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1.8 — WBS: субпроєкт 1.5 «Підсистема координації перехоплення» (рівні 2–4)</w:t>
      </w:r>
    </w:p>
    <w:p>
      <w:pPr>
        <w:keepNext/>
        <w:widowControl/>
        <w:spacing w:line="240" w:lineRule="auto" w:before="120" w:after="0"/>
        <w:ind w:firstLine="0" w:left="0"/>
        <w:jc w:val="center"/>
      </w:pPr>
      <w:r>
        <w:drawing>
          <wp:inline xmlns:pic="http://schemas.openxmlformats.org/drawingml/2006/picture">
            <wp:extent cx="5277600" cy="8101459"/>
            <wp:docPr id="9" name="Picture 9"/>
            <wp:cNvGraphicFramePr>
              <a:graphicFrameLocks noChangeAspect="1"/>
            </wp:cNvGraphicFramePr>
            <a:graphic>
              <a:graphicData uri="http://schemas.openxmlformats.org/drawingml/2006/picture">
                <pic:pic>
                  <pic:nvPicPr>
                    <pic:cNvPr id="0" name="14_wbs_1_6_1_7.png"/>
                    <pic:cNvPicPr/>
                  </pic:nvPicPr>
                  <pic:blipFill>
                    <a:blip r:embed="rId22"/>
                    <a:stretch>
                      <a:fillRect/>
                    </a:stretch>
                  </pic:blipFill>
                  <pic:spPr>
                    <a:xfrm>
                      <a:off x="0" y="0"/>
                      <a:ext cx="5277600" cy="8101459"/>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1.9 — WBS: субпроєкти 1.6 «Підсистема ресурсів, аналітики та звітності» і 1.7 «Інфраструктура та кібербезпека» (рівні 2–4)</w:t>
      </w:r>
    </w:p>
    <w:p>
      <w:pPr>
        <w:keepNext/>
        <w:widowControl/>
        <w:spacing w:line="240" w:lineRule="auto" w:before="120" w:after="0"/>
        <w:ind w:firstLine="0" w:left="0"/>
        <w:jc w:val="center"/>
      </w:pPr>
      <w:r>
        <w:drawing>
          <wp:inline xmlns:pic="http://schemas.openxmlformats.org/drawingml/2006/picture">
            <wp:extent cx="5940000" cy="6261081"/>
            <wp:docPr id="10" name="Picture 10"/>
            <wp:cNvGraphicFramePr>
              <a:graphicFrameLocks noChangeAspect="1"/>
            </wp:cNvGraphicFramePr>
            <a:graphic>
              <a:graphicData uri="http://schemas.openxmlformats.org/drawingml/2006/picture">
                <pic:pic>
                  <pic:nvPicPr>
                    <pic:cNvPr id="0" name="15_wbs_1_8.png"/>
                    <pic:cNvPicPr/>
                  </pic:nvPicPr>
                  <pic:blipFill>
                    <a:blip r:embed="rId23"/>
                    <a:stretch>
                      <a:fillRect/>
                    </a:stretch>
                  </pic:blipFill>
                  <pic:spPr>
                    <a:xfrm>
                      <a:off x="0" y="0"/>
                      <a:ext cx="5940000" cy="6261081"/>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1.10 — WBS: субпроєкт 1.8 «Впровадження» (рівні 2–4)</w:t>
      </w:r>
    </w:p>
    <w:p>
      <w:pPr>
        <w:pStyle w:val="139"/>
        <w:keepNext/>
        <w:pageBreakBefore w:val="0"/>
        <w:widowControl/>
        <w:spacing w:line="360" w:lineRule="auto" w:before="240" w:after="240"/>
        <w:ind w:firstLine="0" w:left="0"/>
        <w:jc w:val="center"/>
      </w:pPr>
      <w:bookmarkStart w:id="18" w:name="_Toc000018"/>
      <w:r>
        <w:rPr>
          <w:rFonts w:ascii="Times New Roman" w:hAnsi="Times New Roman" w:cs="Times New Roman" w:eastAsia="Times New Roman"/>
          <w:b/>
          <w:i w:val="0"/>
          <w:color w:val="000000"/>
          <w:sz w:val="28"/>
        </w:rPr>
        <w:t>ГРАФІЧНА ЧАСТИНА</w:t>
      </w:r>
      <w:bookmarkEnd w:id="1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Графічні матеріали роботи розміщено безпосередньо у відповідних підрозділах ходу виконання, щоб кожна схема була поруч із її описом. Перелік графічних матеріалів: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рис. 1.1 — структурна схема умовного РЦПДО «Щит-Північ»;</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рис. 1.2 — послідовність робіт командного пункту;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рис. 1.3 — дерево цілей (усі рівні на одній схемі);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рис. 1.4 — робоча структура проєкту, рівні 1–2;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рис. 1.5–1.10 — деталізація субпроєктів до робочих пакетів.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Схеми виконано засобами текстового опису діаграм (Mermaid; дерево цілей — власним генератором SVG) з автоматичним контролем читабельності: розмір шрифту в документі — не менше 10 пт, роздільна здатність зображень — не менше 300 точок на дюйм.</w:t>
      </w:r>
    </w:p>
    <w:p>
      <w:pPr>
        <w:pStyle w:val="139"/>
        <w:keepNext/>
        <w:pageBreakBefore/>
        <w:widowControl/>
        <w:spacing w:line="360" w:lineRule="auto" w:before="240" w:after="240"/>
        <w:ind w:firstLine="0" w:left="0"/>
        <w:jc w:val="center"/>
      </w:pPr>
      <w:bookmarkStart w:id="19" w:name="_Toc000019"/>
      <w:r>
        <w:rPr>
          <w:rFonts w:ascii="Times New Roman" w:hAnsi="Times New Roman" w:cs="Times New Roman" w:eastAsia="Times New Roman"/>
          <w:b/>
          <w:i w:val="0"/>
          <w:color w:val="000000"/>
          <w:sz w:val="28"/>
        </w:rPr>
        <w:t>ВИСНОВКИ</w:t>
      </w:r>
      <w:bookmarkEnd w:id="19"/>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 лабораторній роботі досліджено діяльність умовного регіонального центру протидронової оборони РЦПДО «Щит-Північ»: подано загальні відомості, побудовано структурну схему з дев’ятьма підрозділами, описано роботи командного пункту у вигляді алгоритму з восьми кроків, визначено задачі та функції підрозділів і складено таблицю функціональних взаємозв’язків командного пункту з вісьмома підрозділами.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На основі аналізу сформульовано десять задач, які потребують автоматизації, — від збору та нормалізації телеметрії до управління доступом і аудиту; вони визначають функціональний склад IoT-платформи «Щит-Лінк».</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Методом дезагрегації побудовано дерево цілей системи з чотирма рівнями: генеральна мета, 5 цілей першого рівня, 15 вимірюваних цілей другого рівня та 30 заходів третього рівня, серед яких виділено альтернативні варіанти («і/або»-дерево). Дерево відповідає вимогам повноти редукції, незалежності підцілей і єдності методологічного підходу.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Виконано WBS-аналіз проєкту «Створення IoT-платформи „Щит-Лінк“»: за продуктовим принципом побудовано чотирирівневу структуру з 8 субпроєктами, 20 блоками та 42 робочими пакетами з ієрархічним кодуванням; для кожного пакета визначено відповідального, тривалість і бюджет, а зворотними обчисленнями отримано загальний бюджет 29 330 тис. грн при тривалості проєкту 12 місяців. Отримані результати є основою для побудови моделей бізнес-процесів у наступних лабораторних роботах.</w:t>
      </w:r>
    </w:p>
    <w:p>
      <w:pPr>
        <w:pStyle w:val="139"/>
        <w:keepNext/>
        <w:pageBreakBefore/>
        <w:widowControl/>
        <w:spacing w:line="360" w:lineRule="auto" w:before="240" w:after="240"/>
        <w:ind w:firstLine="0" w:left="0"/>
        <w:jc w:val="center"/>
      </w:pPr>
      <w:bookmarkStart w:id="20" w:name="_Toc000020"/>
      <w:r>
        <w:rPr>
          <w:rFonts w:ascii="Times New Roman" w:hAnsi="Times New Roman" w:cs="Times New Roman" w:eastAsia="Times New Roman"/>
          <w:b/>
          <w:i w:val="0"/>
          <w:color w:val="000000"/>
          <w:sz w:val="28"/>
        </w:rPr>
        <w:t>СПИСОК ВИКОРИСТАНИХ ДЖЕРЕЛ</w:t>
      </w:r>
      <w:bookmarkEnd w:id="2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Гладка М. В. Проєктування інформаційних систем : конспект лекцій (лекції 1–9). Київ : КНУ імені Тараса Шевченка, 2026.</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Марченко А. В. Проектування інформаційних систем : навч. посіб. 2015.</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Пістунов І. М. Проектування інформаційних систем : навч. посіб. Дніпропетровськ : НГУ, 2008. 71 с.</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Ременяк Л. В. Проектування інформаційних систем : конспект лекцій. Одеса : ОДЕкУ, 2016. 152 с.</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Коваленко О. С., Добровська Л. М. Проектування інформаційних систем: загальні питання теорії проектування ІС : конспект лекцій. Київ : КПІ ім. Ігоря Сікорського, 2020. 192 с.</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ГОСТ 34.601-90. Інформаційна технологія. Комплекс стандартів на автоматизовані системи. Автоматизовані системи. Стадії створення.</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7) ДСТУ 3008:2015. Інформація та документація. Звіти у сфері науки і техніки. Структура та правила оформлювання.</w:t>
      </w:r>
    </w:p>
    <w:sectPr>
      <w:footerReference w:type="default" r:id="rId8"/>
      <w:headerReference w:type="default" r:id="rId9"/>
      <w:footnotePr/>
      <w:endnotePr/>
      <w:pgSz w:h="16838"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jc w:val="center"/>
    </w:pPr>
    <w:r>
      <w:rPr>
        <w:rFonts w:ascii="Times New Roman" w:hAnsi="Times New Roman" w:cs="Times New Roman" w:eastAsia="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Times New Roman" w:hAnsi="Times New Roman" w:cs="Times New Roman" w:eastAsia="Times New Roman"/>
      <w:b/>
      <w:color w:val="000000"/>
      <w:sz w:val="28"/>
      <w:szCs w:val="28"/>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Times New Roman" w:hAnsi="Times New Roman" w:cs="Times New Roman" w:eastAsia="Times New Roman"/>
      <w:b/>
      <w:color w:val="000000"/>
      <w:sz w:val="28"/>
      <w:szCs w:val="28"/>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Times New Roman" w:hAnsi="Times New Roman" w:cs="Times New Roman" w:eastAsia="Times New Roman"/>
      <w:b/>
      <w:color w:val="000000"/>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rPr>
      <w:rFonts w:ascii="Times New Roman" w:hAnsi="Times New Roman" w:cs="Times New Roman" w:eastAsia="Times New Roman"/>
      <w:color w:val="000000"/>
      <w:sz w:val="28"/>
      <w:szCs w:val="28"/>
    </w:rPr>
  </w:style>
  <w:style w:type="paragraph" w:styleId="190">
    <w:name w:val="toc 2"/>
    <w:basedOn w:val="664"/>
    <w:next w:val="664"/>
    <w:uiPriority w:val="39"/>
    <w:unhideWhenUsed/>
    <w:pPr>
      <w:pBdr/>
      <w:spacing w:after="100"/>
      <w:ind w:left="220"/>
    </w:pPr>
    <w:rPr>
      <w:rFonts w:ascii="Times New Roman" w:hAnsi="Times New Roman" w:cs="Times New Roman" w:eastAsia="Times New Roman"/>
      <w:color w:val="000000"/>
      <w:sz w:val="28"/>
      <w:szCs w:val="28"/>
    </w:r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 Кравченко</dc:creator>
  <cp:revision>1</cp:revision>
  <dcterms:modified xsi:type="dcterms:W3CDTF">2026-10-03T10:31:14Z</dcterms:modified>
  <dc:title>Лабораторна робота №1. Вибір об’єкту дослідження. Формулювання задач, які потребують автоматизації. Побудова дерева цілей автоматизованої системи. Проведення WBS-аналізу</dc:title>
  <dc:subject>Проєктування інформаційних систем</dc:subject>
  <dc:language>uk-UA</dc:language>
</cp:coreProperties>
</file>