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119ED9">
      <w:pPr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I НАУКИ УКРАЇНИ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24A9C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КИЇВСЬКИЙ НАЦІОНАЛЬНИЙ УНІВЕРСИТЕТ ІМЕНІ ТАРАСА ШЕВЧЕНКА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0A397E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AA494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ІНФОРМАЦІЙНИХ СИСТЕМ ТА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FFBB8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 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A9E5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Лабораторна робота №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</w:r>
    </w:p>
    <w:p w14:paraId="19E07F4D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sz w:val="28"/>
        </w:rPr>
      </w:r>
      <w:r>
        <w:rPr>
          <w:rFonts w:ascii="Times New Roman" w:hAnsi="Times New Roman" w:eastAsia="Times New Roman" w:cs="Times New Roman"/>
          <w:b/>
          <w:sz w:val="28"/>
        </w:rPr>
        <w:t xml:space="preserve">Проєктування інформаційних систем</w:t>
      </w:r>
      <w:r>
        <w:rPr>
          <w:rFonts w:ascii="Times New Roman" w:hAnsi="Times New Roman" w:eastAsia="Times New Roman" w:cs="Times New Roman"/>
          <w:b/>
          <w:sz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905C1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1C88F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sz w:val="28"/>
          <w:szCs w:val="28"/>
        </w:rPr>
        <w:t>Моделювання задач, які виконуватиме система. Декомпозиція задач. Побудова звітів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22251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2921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B31CD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 Виконав: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B43C91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 студент гр. ІР-31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84BA6D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Петро Кравченко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4C0C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 Перевірив: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42A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Зараховано від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59EC8F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Гладка Мирослава Вікторівна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78369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___________________________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7E8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(підпис викладача)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CAD3C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6A18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Київ-2026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ectPr>
          <w:footerReference w:type="first" r:id="rId10"/>
          <w:footerReference w:type="default" r:id="rId11"/>
          <w:headerReference w:type="first" r:id="rId12"/>
          <w:headerReference w:type="default" r:id="rId13"/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  <w:titlePg/>
        </w:sectPr>
      </w:pPr>
    </w:p>
    <w:p>
      <w:pPr>
        <w:keepNext w:val="0"/>
        <w:widowControl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ЗМІСТ</w:t>
      </w:r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000001" w:history="1">
        <w:r>
          <w:rPr>
            <w:rFonts w:ascii="Times New Roman" w:hAnsi="Times New Roman" w:cs="Times New Roman"/>
            <w:sz w:val="28"/>
            <w:szCs w:val="28"/>
          </w:rPr>
          <w:t xml:space="preserve">МЕТА РОБОТИ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2" w:history="1">
        <w:r>
          <w:rPr>
            <w:rFonts w:ascii="Times New Roman" w:hAnsi="Times New Roman" w:cs="Times New Roman"/>
            <w:sz w:val="28"/>
            <w:szCs w:val="28"/>
          </w:rPr>
          <w:t xml:space="preserve">КОРОТКІ ТЕОРЕТИЧНІ ВІДОМОСТІ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3" w:history="1">
        <w:r>
          <w:rPr>
            <w:rFonts w:ascii="Times New Roman" w:hAnsi="Times New Roman" w:cs="Times New Roman"/>
            <w:sz w:val="28"/>
            <w:szCs w:val="28"/>
          </w:rPr>
          <w:t xml:space="preserve">ХІД ВИКОНАННЯ РОБОТИ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_Toc000003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4" w:history="1">
        <w:r>
          <w:rPr>
            <w:rFonts w:ascii="Times New Roman" w:hAnsi="Times New Roman" w:cs="Times New Roman"/>
            <w:sz w:val="28"/>
            <w:szCs w:val="28"/>
          </w:rPr>
          <w:t xml:space="preserve">1. Розроблення представлення моделі в нотації DFD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_Toc000004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5" w:history="1">
        <w:r>
          <w:rPr>
            <w:rFonts w:ascii="Times New Roman" w:hAnsi="Times New Roman" w:cs="Times New Roman"/>
            <w:sz w:val="28"/>
            <w:szCs w:val="28"/>
          </w:rPr>
          <w:t xml:space="preserve">2. Вартісний аналіз функціональної моделі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_Toc000005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6" w:history="1">
        <w:r>
          <w:rPr>
            <w:rFonts w:ascii="Times New Roman" w:hAnsi="Times New Roman" w:cs="Times New Roman"/>
            <w:sz w:val="28"/>
            <w:szCs w:val="28"/>
          </w:rPr>
          <w:t xml:space="preserve">3. Звіт Activity Cost Report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_Toc000006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7" w:history="1">
        <w:r>
          <w:rPr>
            <w:rFonts w:ascii="Times New Roman" w:hAnsi="Times New Roman" w:cs="Times New Roman"/>
            <w:sz w:val="28"/>
            <w:szCs w:val="28"/>
          </w:rPr>
          <w:t xml:space="preserve">4. Звіти представлень та діяльності моделі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_Toc000007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8" w:history="1">
        <w:r>
          <w:rPr>
            <w:rFonts w:ascii="Times New Roman" w:hAnsi="Times New Roman" w:cs="Times New Roman"/>
            <w:sz w:val="28"/>
            <w:szCs w:val="28"/>
          </w:rPr>
          <w:t xml:space="preserve">ГРАФІЧНА ЧАСТИНА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_Toc000008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20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9" w:history="1">
        <w:r>
          <w:rPr>
            <w:rFonts w:ascii="Times New Roman" w:hAnsi="Times New Roman" w:cs="Times New Roman"/>
            <w:sz w:val="28"/>
            <w:szCs w:val="28"/>
          </w:rPr>
          <w:t xml:space="preserve">ВИСНОВКИ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_Toc000009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0" w:history="1">
        <w:r>
          <w:rPr>
            <w:rFonts w:ascii="Times New Roman" w:hAnsi="Times New Roman" w:cs="Times New Roman"/>
            <w:sz w:val="28"/>
            <w:szCs w:val="28"/>
          </w:rPr>
          <w:t xml:space="preserve">СПИСОК ВИКОРИСТАНИХ ДЖЕРЕЛ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_Toc000010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  <w:r>
        <w:rPr>
          <w:rFonts w:ascii="Times New Roman" w:hAnsi="Times New Roman" w:cs="Times New Roman"/>
          <w:sz w:val="28"/>
          <w:szCs w:val="28"/>
        </w:rPr>
        <w:fldChar w:fldCharType="end"/>
      </w:r>
    </w:p>
    <w:p>
      <w:pPr>
        <w:pStyle w:val="139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" w:name="_Toc00000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МЕТА РОБОТИ</w:t>
      </w:r>
      <w:bookmarkEnd w:id="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Ознайомитися з методологією нотації DFD та вивчити процес моделювання задач, які виконуватиме IoT-платформа «Щит-Лінк», для предметної області умовного РЦПДО «Щит-Північ»; виконати вартісний аналіз функціональної моделі (Activity Based Costing) та сформувати звіти за моделлю.</w:t>
      </w:r>
    </w:p>
    <w:p>
      <w:pPr>
        <w:pStyle w:val="139"/>
        <w:keepNext/>
        <w:pageBreakBefore w:val="0"/>
        <w:widowControl/>
        <w:spacing w:line="360" w:lineRule="auto" w:before="240" w:after="240"/>
        <w:ind w:firstLine="0" w:left="0"/>
        <w:jc w:val="center"/>
      </w:pPr>
      <w:bookmarkStart w:id="2" w:name="_Toc00000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КОРОТКІ ТЕОРЕТИЧНІ ВІДОМОСТІ</w:t>
      </w:r>
      <w:bookmarkEnd w:id="2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Діаграми потоків даних (Data Flow Diagrams, DFD) подають ієрархію функціональних процесів, пов’язаних потоками даних, і показують, як кожен процес перетворює вхідні дані у вихідні. Згідно з лекцією «Нотації IDEF3, DFD» основними компонентами DFD є зовнішні сутності, системи і підсистеми, процеси, накопичувачі (сховища) даних і потоки даних. У роботі використано нотацію Гейна — Сарсона, реалізовану в BPwin / AllFusion Process Modeler: процес — прямокутник із заокругленими кутами та номером, сховище — відкритий прямокутник з ідентифікатором D, зовнішня сутність — прямокутник з тінню, потік — іменована стрілка, що може бути двонапрямленою для взаємодії типу «команда — відповідь».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Рекомендації до побудови ієрархії DFD: розміщувати на діаграмі 3–6(7) процесів; не ускладнювати діаграми несуттєвими деталями; декомпозицію потоків виконувати паралельно з декомпозицією процесів; обирати ясні імена без абревіатур. Під час декомпозиції роботи IDEF0 в DFD граничні стрілки перетворюють на внутрішні, що починаються і закінчуються на зовнішніх сутностях, а потоки, що мають передаватися на іншу діаграму, оформлюють міжсторінковими посиланнями (Off-Page Reference).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Вартісний аналіз (Activity Based Costing, ABC) визначає вартість виконання робіт на основі центрів витрат. Для кожної роботи задають витрати за центрами витрат, тривалість (Duration) і частоту (Frequency) виконання в межах батьківської роботи. Вартість декомпонованої роботи обчислюється знизу догори: C(батьк.) = Σ C(дочірн.) × F(дочірн.); аналогічно агрегується тривалість. Властивості, визначувані користувачем (User Defined Properties, UDP), доповнюють модель довільними атрибутами (списками, числами, командами) і групуються за ключовими словами; вони використовуються у звітах Diagram Object Report.</w:t>
      </w:r>
    </w:p>
    <w:p>
      <w:pPr>
        <w:pStyle w:val="139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3" w:name="_Toc000003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ХІД ВИКОНАННЯ РОБОТИ</w:t>
      </w:r>
      <w:bookmarkEnd w:id="3"/>
    </w:p>
    <w:p>
      <w:pPr>
        <w:pStyle w:val="140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4" w:name="_Toc000004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Розроблення представлення моделі в нотації DFD</w:t>
      </w:r>
      <w:bookmarkEnd w:id="4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моделювання задач, що виконуватиме система, у нотації DFD декомпоновано дві роботи діаграми А0 з лабораторної роботи № 3 (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навчальна умовна модель організації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): A4 «Оцінити результат і звітувати» та A5 «Забезпечити готовність ресурсів». Граничні стрілки IDEF0 замінено зовнішніми сутностями, між процесами введено сховища даних, які відповідають базам даних платформи «Щит-Лінк».</w:t>
      </w:r>
    </w:p>
    <w:p>
      <w:pPr>
        <w:pStyle w:val="141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1.1. Діаграма DFD A4 «Оцінити результат і звітувати»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(рис. 4.1) містить три процеси, два сховища і три зовнішні сутності. Розрахунок перехоплювачів передає доповідь, відео і телеметрію; процес A41 доповнює їх даними треку зі сховища D1 і формує пакет доказів; A42 встановлює оцінку результату й записує її до архіву місій D2; A43 формує звіти, оновлює статус треку в D1 і обмінюється звітом і підтвердженням з вищим КП (двонапрямлений потік), а ДСНС отримує координати падіння уламків.</w:t>
      </w:r>
    </w:p>
    <w:p>
      <w:pPr>
        <w:sectPr>
          <w:footerReference w:type="default" r:id="rId8"/>
          <w:headerReference w:type="default" r:id="rId9"/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47724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fd_a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4772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4.1 — Діаграма DFD A4 «Оцінити результат і звітувати»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pStyle w:val="141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1.2. Діаграма DFD A5 і міжсторінкове посилання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DFD A5 (рис. 4.2) описує післяпольотний контроль, облік запасів і формування заявок на поповнення. Двонапрямлені потоки «Стан техніки», «Залишки запасів» і «Заявка / поставка» моделюють читання та оновлення сховищ і взаємодію з постачальником.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Інформація про списаний (втрачений) перехоплювач виникає в процесі A42 діаграми A4, а використовується процесом A52 діаграми A5. Для її передачі застосовано міжсторінкове посилання (Off-Page Reference): на діаграмі A4 потік «Інформація про списаний перехоплювач» виходить до межі діаграми з позначкою A5, а на діаграмі A5 надходить від межі з позначкою A4 (у властивостях моделі встановлено Off-Page Reference label — Node number). На батьківській діаграмі А0 відповідні стрілки тунельовано.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47724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fd_a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4772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4.2 — Діаграма DFD A5 «Забезпечити готовність ресурсів» з міжсторінковим посиланням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pStyle w:val="140"/>
        <w:keepNext/>
        <w:pageBreakBefore/>
        <w:widowControl/>
        <w:spacing w:line="360" w:lineRule="auto" w:before="120" w:after="120"/>
        <w:ind w:firstLine="709" w:left="0"/>
        <w:jc w:val="left"/>
      </w:pPr>
      <w:bookmarkStart w:id="5" w:name="_Toc000005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Вартісний аналіз функціональної моделі</w:t>
      </w:r>
      <w:bookmarkEnd w:id="5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 властивостях моделі (вкладка ABC Units) встановлено одиниці виміру: грошова одиниця — грн, час — години. Розрахунковим періодом для роботи А0 обрано одна доба бойового чергування (40 виявлених цілей, 25 призначень, 22 місії перехоплення). У словнику центрів витрат (Dictionary / Cost Center) створено чотири центри витрат (табл. 4.1).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4.1 — Центри витрат ABC (Cost Center Dictionary)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Центр витрат</w:t>
            </w:r>
          </w:p>
        </w:tc>
        <w:tc>
          <w:tcPr>
            <w:tcW w:type="dxa" w:w="666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Визначення</w:t>
            </w:r>
          </w:p>
        </w:tc>
      </w:tr>
      <w:tr>
        <w:trPr>
          <w:cantSplit w:val="true"/>
        </w:trPr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Експлуатація ІС та обладнання</w:t>
            </w:r>
          </w:p>
        </w:tc>
        <w:tc>
          <w:tcPr>
            <w:tcW w:type="dxa" w:w="666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Обчислювальні ресурси, зв’язок, обслуговування сенсорів і платформи «Щит-Лінк»</w:t>
            </w:r>
          </w:p>
        </w:tc>
      </w:tr>
      <w:tr>
        <w:trPr>
          <w:cantSplit w:val="true"/>
        </w:trPr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Оплата праці</w:t>
            </w:r>
          </w:p>
        </w:tc>
        <w:tc>
          <w:tcPr>
            <w:tcW w:type="dxa" w:w="666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Витрати на оплату праці чергового персоналу, розрахунків, техніків і логістів</w:t>
            </w:r>
          </w:p>
        </w:tc>
      </w:tr>
      <w:tr>
        <w:trPr>
          <w:cantSplit w:val="true"/>
        </w:trPr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Перехоплювачі та АКБ</w:t>
            </w:r>
          </w:p>
        </w:tc>
        <w:tc>
          <w:tcPr>
            <w:tcW w:type="dxa" w:w="666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Вартість витрачених дронів-перехоплювачів, ресурсу акумуляторних батарей</w:t>
            </w:r>
          </w:p>
        </w:tc>
      </w:tr>
      <w:tr>
        <w:trPr>
          <w:cantSplit w:val="true"/>
        </w:trPr>
        <w:tc>
          <w:tcPr>
            <w:tcW w:type="dxa" w:w="268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Управління</w:t>
            </w:r>
          </w:p>
        </w:tc>
        <w:tc>
          <w:tcPr>
            <w:tcW w:type="dxa" w:w="666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Витрати на управління, координацію з ПС ЗСУ та звітність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Вартісні показники задано для робіт нижнього рівня (табл. 4.2). Вартість указано на одне виконання роботи, тривалість — у годинах, частота — кількість виконань у межах одного виконання батьківської роботи. Наприклад, робота A11 «Прийняти та нормалізувати дані сенсорів» виконується 6 разів на одну ціль (в середньому шість виявлень від різних сенсорів), а місія перехоплення A3 — 22 рази за добу.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4.2 — Показники вартості робіт (Activity Properties, вкладка Cost)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  <w:cantSplit w:val="true"/>
        </w:trPr>
        <w:tc>
          <w:tcPr>
            <w:tcW w:type="dxa" w:w="8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Вузол</w:t>
            </w:r>
          </w:p>
        </w:tc>
        <w:tc>
          <w:tcPr>
            <w:tcW w:type="dxa" w:w="24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Робота</w:t>
            </w:r>
          </w:p>
        </w:tc>
        <w:tc>
          <w:tcPr>
            <w:tcW w:type="dxa" w:w="21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Центр витрат</w:t>
            </w:r>
          </w:p>
        </w:tc>
        <w:tc>
          <w:tcPr>
            <w:tcW w:type="dxa" w:w="13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Вартість, грн</w:t>
            </w:r>
          </w:p>
        </w:tc>
        <w:tc>
          <w:tcPr>
            <w:tcW w:type="dxa" w:w="145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Тривалість, год</w:t>
            </w:r>
          </w:p>
        </w:tc>
        <w:tc>
          <w:tcPr>
            <w:tcW w:type="dxa" w:w="11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Частота</w:t>
            </w:r>
          </w:p>
        </w:tc>
      </w:tr>
      <w:tr>
        <w:trPr>
          <w:cantSplit w:val="true"/>
        </w:trPr>
        <w:tc>
          <w:tcPr>
            <w:tcW w:type="dxa" w:w="8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A11</w:t>
            </w:r>
          </w:p>
        </w:tc>
        <w:tc>
          <w:tcPr>
            <w:tcW w:type="dxa" w:w="24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Прийняти та нормалізувати дані сенсорів</w:t>
            </w:r>
          </w:p>
        </w:tc>
        <w:tc>
          <w:tcPr>
            <w:tcW w:type="dxa" w:w="21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Експлуатація ІС та обладнання</w:t>
            </w:r>
          </w:p>
        </w:tc>
        <w:tc>
          <w:tcPr>
            <w:tcW w:type="dxa" w:w="13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2,00</w:t>
            </w:r>
          </w:p>
        </w:tc>
        <w:tc>
          <w:tcPr>
            <w:tcW w:type="dxa" w:w="145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0,001</w:t>
            </w:r>
          </w:p>
        </w:tc>
        <w:tc>
          <w:tcPr>
            <w:tcW w:type="dxa" w:w="11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</w:tr>
      <w:tr>
        <w:trPr>
          <w:cantSplit w:val="true"/>
        </w:trPr>
        <w:tc>
          <w:tcPr>
            <w:tcW w:type="dxa" w:w="8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A12</w:t>
            </w:r>
          </w:p>
        </w:tc>
        <w:tc>
          <w:tcPr>
            <w:tcW w:type="dxa" w:w="24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Злити виявлення у треки</w:t>
            </w:r>
          </w:p>
        </w:tc>
        <w:tc>
          <w:tcPr>
            <w:tcW w:type="dxa" w:w="21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Експлуатація ІС та обладнання</w:t>
            </w:r>
          </w:p>
        </w:tc>
        <w:tc>
          <w:tcPr>
            <w:tcW w:type="dxa" w:w="13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3,00</w:t>
            </w:r>
          </w:p>
        </w:tc>
        <w:tc>
          <w:tcPr>
            <w:tcW w:type="dxa" w:w="145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0,002</w:t>
            </w:r>
          </w:p>
        </w:tc>
        <w:tc>
          <w:tcPr>
            <w:tcW w:type="dxa" w:w="11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rPr>
          <w:cantSplit w:val="true"/>
        </w:trPr>
        <w:tc>
          <w:tcPr>
            <w:tcW w:type="dxa" w:w="8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A13</w:t>
            </w:r>
          </w:p>
        </w:tc>
        <w:tc>
          <w:tcPr>
            <w:tcW w:type="dxa" w:w="24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Класифікувати ціль і оцінити загрозу</w:t>
            </w:r>
          </w:p>
        </w:tc>
        <w:tc>
          <w:tcPr>
            <w:tcW w:type="dxa" w:w="21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Оплата праці</w:t>
            </w:r>
          </w:p>
        </w:tc>
        <w:tc>
          <w:tcPr>
            <w:tcW w:type="dxa" w:w="13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15,00</w:t>
            </w:r>
          </w:p>
        </w:tc>
        <w:tc>
          <w:tcPr>
            <w:tcW w:type="dxa" w:w="145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0,02</w:t>
            </w:r>
          </w:p>
        </w:tc>
        <w:tc>
          <w:tcPr>
            <w:tcW w:type="dxa" w:w="11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rPr>
          <w:cantSplit w:val="true"/>
        </w:trPr>
        <w:tc>
          <w:tcPr>
            <w:tcW w:type="dxa" w:w="8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24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21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Експлуатація ІС та обладнання</w:t>
            </w:r>
          </w:p>
        </w:tc>
        <w:tc>
          <w:tcPr>
            <w:tcW w:type="dxa" w:w="13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5,00</w:t>
            </w:r>
          </w:p>
        </w:tc>
        <w:tc>
          <w:tcPr>
            <w:tcW w:type="dxa" w:w="145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11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8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A14</w:t>
            </w:r>
          </w:p>
        </w:tc>
        <w:tc>
          <w:tcPr>
            <w:tcW w:type="dxa" w:w="24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Підтвердити ціль</w:t>
            </w:r>
          </w:p>
        </w:tc>
        <w:tc>
          <w:tcPr>
            <w:tcW w:type="dxa" w:w="21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Оплата праці</w:t>
            </w:r>
          </w:p>
        </w:tc>
        <w:tc>
          <w:tcPr>
            <w:tcW w:type="dxa" w:w="13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10,00</w:t>
            </w:r>
          </w:p>
        </w:tc>
        <w:tc>
          <w:tcPr>
            <w:tcW w:type="dxa" w:w="145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0,005</w:t>
            </w:r>
          </w:p>
        </w:tc>
        <w:tc>
          <w:tcPr>
            <w:tcW w:type="dxa" w:w="11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rPr>
          <w:cantSplit w:val="true"/>
        </w:trPr>
        <w:tc>
          <w:tcPr>
            <w:tcW w:type="dxa" w:w="8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A21</w:t>
            </w:r>
          </w:p>
        </w:tc>
        <w:tc>
          <w:tcPr>
            <w:tcW w:type="dxa" w:w="24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Перевірити деконфлікцію</w:t>
            </w:r>
          </w:p>
        </w:tc>
        <w:tc>
          <w:tcPr>
            <w:tcW w:type="dxa" w:w="21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Експлуатація ІС та обладнання</w:t>
            </w:r>
          </w:p>
        </w:tc>
        <w:tc>
          <w:tcPr>
            <w:tcW w:type="dxa" w:w="13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2,00</w:t>
            </w:r>
          </w:p>
        </w:tc>
        <w:tc>
          <w:tcPr>
            <w:tcW w:type="dxa" w:w="145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0,001</w:t>
            </w:r>
          </w:p>
        </w:tc>
        <w:tc>
          <w:tcPr>
            <w:tcW w:type="dxa" w:w="11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rPr>
          <w:cantSplit w:val="true"/>
        </w:trPr>
        <w:tc>
          <w:tcPr>
            <w:tcW w:type="dxa" w:w="8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A22</w:t>
            </w:r>
          </w:p>
        </w:tc>
        <w:tc>
          <w:tcPr>
            <w:tcW w:type="dxa" w:w="24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Обрати розрахунок</w:t>
            </w:r>
          </w:p>
        </w:tc>
        <w:tc>
          <w:tcPr>
            <w:tcW w:type="dxa" w:w="21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Оплата праці</w:t>
            </w:r>
          </w:p>
        </w:tc>
        <w:tc>
          <w:tcPr>
            <w:tcW w:type="dxa" w:w="13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20,00</w:t>
            </w:r>
          </w:p>
        </w:tc>
        <w:tc>
          <w:tcPr>
            <w:tcW w:type="dxa" w:w="145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0,01</w:t>
            </w:r>
          </w:p>
        </w:tc>
        <w:tc>
          <w:tcPr>
            <w:tcW w:type="dxa" w:w="11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1,2</w:t>
            </w:r>
          </w:p>
        </w:tc>
      </w:tr>
      <w:tr>
        <w:trPr>
          <w:cantSplit w:val="true"/>
        </w:trPr>
        <w:tc>
          <w:tcPr>
            <w:tcW w:type="dxa" w:w="8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24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21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Експлуатація ІС та обладнання</w:t>
            </w:r>
          </w:p>
        </w:tc>
        <w:tc>
          <w:tcPr>
            <w:tcW w:type="dxa" w:w="13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3,00</w:t>
            </w:r>
          </w:p>
        </w:tc>
        <w:tc>
          <w:tcPr>
            <w:tcW w:type="dxa" w:w="145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11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8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A23</w:t>
            </w:r>
          </w:p>
        </w:tc>
        <w:tc>
          <w:tcPr>
            <w:tcW w:type="dxa" w:w="24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Санкціонувати пуск</w:t>
            </w:r>
          </w:p>
        </w:tc>
        <w:tc>
          <w:tcPr>
            <w:tcW w:type="dxa" w:w="21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Оплата праці</w:t>
            </w:r>
          </w:p>
        </w:tc>
        <w:tc>
          <w:tcPr>
            <w:tcW w:type="dxa" w:w="13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15,00</w:t>
            </w:r>
          </w:p>
        </w:tc>
        <w:tc>
          <w:tcPr>
            <w:tcW w:type="dxa" w:w="145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0,004</w:t>
            </w:r>
          </w:p>
        </w:tc>
        <w:tc>
          <w:tcPr>
            <w:tcW w:type="dxa" w:w="11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rPr>
          <w:cantSplit w:val="true"/>
        </w:trPr>
        <w:tc>
          <w:tcPr>
            <w:tcW w:type="dxa" w:w="8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24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21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Управління</w:t>
            </w:r>
          </w:p>
        </w:tc>
        <w:tc>
          <w:tcPr>
            <w:tcW w:type="dxa" w:w="13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10,00</w:t>
            </w:r>
          </w:p>
        </w:tc>
        <w:tc>
          <w:tcPr>
            <w:tcW w:type="dxa" w:w="145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11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8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A24</w:t>
            </w:r>
          </w:p>
        </w:tc>
        <w:tc>
          <w:tcPr>
            <w:tcW w:type="dxa" w:w="24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Передати бойове завдання</w:t>
            </w:r>
          </w:p>
        </w:tc>
        <w:tc>
          <w:tcPr>
            <w:tcW w:type="dxa" w:w="21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Експлуатація ІС та обладнання</w:t>
            </w:r>
          </w:p>
        </w:tc>
        <w:tc>
          <w:tcPr>
            <w:tcW w:type="dxa" w:w="13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2,00</w:t>
            </w:r>
          </w:p>
        </w:tc>
        <w:tc>
          <w:tcPr>
            <w:tcW w:type="dxa" w:w="145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0,0005</w:t>
            </w:r>
          </w:p>
        </w:tc>
        <w:tc>
          <w:tcPr>
            <w:tcW w:type="dxa" w:w="11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1,1</w:t>
            </w:r>
          </w:p>
        </w:tc>
      </w:tr>
      <w:tr>
        <w:trPr>
          <w:cantSplit w:val="true"/>
        </w:trPr>
        <w:tc>
          <w:tcPr>
            <w:tcW w:type="dxa" w:w="8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A3</w:t>
            </w:r>
          </w:p>
        </w:tc>
        <w:tc>
          <w:tcPr>
            <w:tcW w:type="dxa" w:w="24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Виконати місію перехоплення</w:t>
            </w:r>
          </w:p>
        </w:tc>
        <w:tc>
          <w:tcPr>
            <w:tcW w:type="dxa" w:w="21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Перехоплювачі та АКБ</w:t>
            </w:r>
          </w:p>
        </w:tc>
        <w:tc>
          <w:tcPr>
            <w:tcW w:type="dxa" w:w="13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70 000,00</w:t>
            </w:r>
          </w:p>
        </w:tc>
        <w:tc>
          <w:tcPr>
            <w:tcW w:type="dxa" w:w="145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0,5</w:t>
            </w:r>
          </w:p>
        </w:tc>
        <w:tc>
          <w:tcPr>
            <w:tcW w:type="dxa" w:w="11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22</w:t>
            </w:r>
          </w:p>
        </w:tc>
      </w:tr>
      <w:tr>
        <w:trPr>
          <w:cantSplit w:val="true"/>
        </w:trPr>
        <w:tc>
          <w:tcPr>
            <w:tcW w:type="dxa" w:w="8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24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21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Оплата праці</w:t>
            </w:r>
          </w:p>
        </w:tc>
        <w:tc>
          <w:tcPr>
            <w:tcW w:type="dxa" w:w="13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600,00</w:t>
            </w:r>
          </w:p>
        </w:tc>
        <w:tc>
          <w:tcPr>
            <w:tcW w:type="dxa" w:w="145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11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8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24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21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Експлуатація ІС та обладнання</w:t>
            </w:r>
          </w:p>
        </w:tc>
        <w:tc>
          <w:tcPr>
            <w:tcW w:type="dxa" w:w="13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150,00</w:t>
            </w:r>
          </w:p>
        </w:tc>
        <w:tc>
          <w:tcPr>
            <w:tcW w:type="dxa" w:w="145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11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8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A4</w:t>
            </w:r>
          </w:p>
        </w:tc>
        <w:tc>
          <w:tcPr>
            <w:tcW w:type="dxa" w:w="24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Оцінити результат і звітувати</w:t>
            </w:r>
          </w:p>
        </w:tc>
        <w:tc>
          <w:tcPr>
            <w:tcW w:type="dxa" w:w="21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Оплата праці</w:t>
            </w:r>
          </w:p>
        </w:tc>
        <w:tc>
          <w:tcPr>
            <w:tcW w:type="dxa" w:w="13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150,00</w:t>
            </w:r>
          </w:p>
        </w:tc>
        <w:tc>
          <w:tcPr>
            <w:tcW w:type="dxa" w:w="145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0,25</w:t>
            </w:r>
          </w:p>
        </w:tc>
        <w:tc>
          <w:tcPr>
            <w:tcW w:type="dxa" w:w="11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22</w:t>
            </w:r>
          </w:p>
        </w:tc>
      </w:tr>
      <w:tr>
        <w:trPr>
          <w:cantSplit w:val="true"/>
        </w:trPr>
        <w:tc>
          <w:tcPr>
            <w:tcW w:type="dxa" w:w="8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24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21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Експлуатація ІС та обладнання</w:t>
            </w:r>
          </w:p>
        </w:tc>
        <w:tc>
          <w:tcPr>
            <w:tcW w:type="dxa" w:w="13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40,00</w:t>
            </w:r>
          </w:p>
        </w:tc>
        <w:tc>
          <w:tcPr>
            <w:tcW w:type="dxa" w:w="145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11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8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24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21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Управління</w:t>
            </w:r>
          </w:p>
        </w:tc>
        <w:tc>
          <w:tcPr>
            <w:tcW w:type="dxa" w:w="13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30,00</w:t>
            </w:r>
          </w:p>
        </w:tc>
        <w:tc>
          <w:tcPr>
            <w:tcW w:type="dxa" w:w="145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11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8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A5</w:t>
            </w:r>
          </w:p>
        </w:tc>
        <w:tc>
          <w:tcPr>
            <w:tcW w:type="dxa" w:w="24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Забезпечити готовність ресурсів</w:t>
            </w:r>
          </w:p>
        </w:tc>
        <w:tc>
          <w:tcPr>
            <w:tcW w:type="dxa" w:w="21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Оплата праці</w:t>
            </w:r>
          </w:p>
        </w:tc>
        <w:tc>
          <w:tcPr>
            <w:tcW w:type="dxa" w:w="13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4 000,00</w:t>
            </w:r>
          </w:p>
        </w:tc>
        <w:tc>
          <w:tcPr>
            <w:tcW w:type="dxa" w:w="145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8,00</w:t>
            </w:r>
          </w:p>
        </w:tc>
        <w:tc>
          <w:tcPr>
            <w:tcW w:type="dxa" w:w="11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rPr>
          <w:cantSplit w:val="true"/>
        </w:trPr>
        <w:tc>
          <w:tcPr>
            <w:tcW w:type="dxa" w:w="8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24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21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Експлуатація ІС та обладнання</w:t>
            </w:r>
          </w:p>
        </w:tc>
        <w:tc>
          <w:tcPr>
            <w:tcW w:type="dxa" w:w="13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1 500,00</w:t>
            </w:r>
          </w:p>
        </w:tc>
        <w:tc>
          <w:tcPr>
            <w:tcW w:type="dxa" w:w="145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11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8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24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21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Управління</w:t>
            </w:r>
          </w:p>
        </w:tc>
        <w:tc>
          <w:tcPr>
            <w:tcW w:type="dxa" w:w="13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800,00</w:t>
            </w:r>
          </w:p>
        </w:tc>
        <w:tc>
          <w:tcPr>
            <w:tcW w:type="dxa" w:w="145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11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87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244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215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Перехоплювачі та АКБ</w:t>
            </w:r>
          </w:p>
        </w:tc>
        <w:tc>
          <w:tcPr>
            <w:tcW w:type="dxa" w:w="133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3 000,00</w:t>
            </w:r>
          </w:p>
        </w:tc>
        <w:tc>
          <w:tcPr>
            <w:tcW w:type="dxa" w:w="145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110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Для декомпонованих робіт задано лише частоту на діаграмі А0: A1 — 40 (кількість виявлених цілей за добу), A2 — 25 (кількість призначень). Їхня вартість обчислюється автоматично. Наприклад, вартість роботи A1 на одну ціль: 6 × 2 + 3 + 20 + 10 = 45,00 грн; роботи A2: 2 + 1,2 × 23 + 25 + 1,1 × 2 = 56,80 грн. Вартість роботи А0 за добу: 40 × 45,00 + 25 × 56,80 + 22 × 70 750,00 + 22 × 220,00 + 1 × 9 300,00 =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1 573 860,00 грн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Після ввімкнення опції ABC Data (Model Properties / Display) вартість кожної роботи відображається в лівому нижньому куті її прямокутника (рис. 4.3).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082800" cy="52192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0_ab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82800" cy="5219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4.3 — Діаграма А0 з відображенням вартості робіт (ABC Data)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pStyle w:val="140"/>
        <w:keepNext/>
        <w:pageBreakBefore/>
        <w:widowControl/>
        <w:spacing w:line="360" w:lineRule="auto" w:before="120" w:after="120"/>
        <w:ind w:firstLine="709" w:left="0"/>
        <w:jc w:val="left"/>
      </w:pPr>
      <w:bookmarkStart w:id="6" w:name="_Toc000006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Звіт Activity Cost Report</w:t>
      </w:r>
      <w:bookmarkEnd w:id="6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Звіт Activity Cost Report (Tools / Reports / Activity Based Costing Report) згенеровано для всіх робіт моделі з параметрами: вартість, тривалість, частота, розподіл за центрами витрат. Результат подано в табл. 4.3, підсумковий розподіл вартості роботи А0 за центрами витрат — у табл. 4.4.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4.3 — Activity Cost Report: вартість і тривалість робіт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  <w:cantSplit w:val="true"/>
        </w:trPr>
        <w:tc>
          <w:tcPr>
            <w:tcW w:type="dxa" w:w="8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Вузол</w:t>
            </w:r>
          </w:p>
        </w:tc>
        <w:tc>
          <w:tcPr>
            <w:tcW w:type="dxa" w:w="26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Робота</w:t>
            </w:r>
          </w:p>
        </w:tc>
        <w:tc>
          <w:tcPr>
            <w:tcW w:type="dxa" w:w="109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Частота</w:t>
            </w:r>
          </w:p>
        </w:tc>
        <w:tc>
          <w:tcPr>
            <w:tcW w:type="dxa" w:w="14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Тривалість, год</w:t>
            </w:r>
          </w:p>
        </w:tc>
        <w:tc>
          <w:tcPr>
            <w:tcW w:type="dxa" w:w="166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Вартість одного виконання, грн</w:t>
            </w:r>
          </w:p>
        </w:tc>
        <w:tc>
          <w:tcPr>
            <w:tcW w:type="dxa" w:w="166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Внесок у батьківську роботу, грн</w:t>
            </w:r>
          </w:p>
        </w:tc>
      </w:tr>
      <w:tr>
        <w:trPr>
          <w:cantSplit w:val="true"/>
        </w:trPr>
        <w:tc>
          <w:tcPr>
            <w:tcW w:type="dxa" w:w="8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A0</w:t>
            </w:r>
          </w:p>
        </w:tc>
        <w:tc>
          <w:tcPr>
            <w:tcW w:type="dxa" w:w="26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Забезпечити перехоплення повітряних цілей</w:t>
            </w:r>
          </w:p>
        </w:tc>
        <w:tc>
          <w:tcPr>
            <w:tcW w:type="dxa" w:w="109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4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26,26</w:t>
            </w:r>
          </w:p>
        </w:tc>
        <w:tc>
          <w:tcPr>
            <w:tcW w:type="dxa" w:w="166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1 573 860,00</w:t>
            </w:r>
          </w:p>
        </w:tc>
        <w:tc>
          <w:tcPr>
            <w:tcW w:type="dxa" w:w="166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1 573 860,00</w:t>
            </w:r>
          </w:p>
        </w:tc>
      </w:tr>
      <w:tr>
        <w:trPr>
          <w:cantSplit w:val="true"/>
        </w:trPr>
        <w:tc>
          <w:tcPr>
            <w:tcW w:type="dxa" w:w="8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A1</w:t>
            </w:r>
          </w:p>
        </w:tc>
        <w:tc>
          <w:tcPr>
            <w:tcW w:type="dxa" w:w="26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Сформувати повітряну обстановку</w:t>
            </w:r>
          </w:p>
        </w:tc>
        <w:tc>
          <w:tcPr>
            <w:tcW w:type="dxa" w:w="109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40</w:t>
            </w:r>
          </w:p>
        </w:tc>
        <w:tc>
          <w:tcPr>
            <w:tcW w:type="dxa" w:w="14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0,033</w:t>
            </w:r>
          </w:p>
        </w:tc>
        <w:tc>
          <w:tcPr>
            <w:tcW w:type="dxa" w:w="166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45,00</w:t>
            </w:r>
          </w:p>
        </w:tc>
        <w:tc>
          <w:tcPr>
            <w:tcW w:type="dxa" w:w="166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1 800,00</w:t>
            </w:r>
          </w:p>
        </w:tc>
      </w:tr>
      <w:tr>
        <w:trPr>
          <w:cantSplit w:val="true"/>
        </w:trPr>
        <w:tc>
          <w:tcPr>
            <w:tcW w:type="dxa" w:w="8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A11</w:t>
            </w:r>
          </w:p>
        </w:tc>
        <w:tc>
          <w:tcPr>
            <w:tcW w:type="dxa" w:w="26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Прийняти та нормалізувати дані сенсорів</w:t>
            </w:r>
          </w:p>
        </w:tc>
        <w:tc>
          <w:tcPr>
            <w:tcW w:type="dxa" w:w="109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14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0,001</w:t>
            </w:r>
          </w:p>
        </w:tc>
        <w:tc>
          <w:tcPr>
            <w:tcW w:type="dxa" w:w="166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2,00</w:t>
            </w:r>
          </w:p>
        </w:tc>
        <w:tc>
          <w:tcPr>
            <w:tcW w:type="dxa" w:w="166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12,00</w:t>
            </w:r>
          </w:p>
        </w:tc>
      </w:tr>
      <w:tr>
        <w:trPr>
          <w:cantSplit w:val="true"/>
        </w:trPr>
        <w:tc>
          <w:tcPr>
            <w:tcW w:type="dxa" w:w="8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A12</w:t>
            </w:r>
          </w:p>
        </w:tc>
        <w:tc>
          <w:tcPr>
            <w:tcW w:type="dxa" w:w="26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Злити виявлення у треки</w:t>
            </w:r>
          </w:p>
        </w:tc>
        <w:tc>
          <w:tcPr>
            <w:tcW w:type="dxa" w:w="109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4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0,002</w:t>
            </w:r>
          </w:p>
        </w:tc>
        <w:tc>
          <w:tcPr>
            <w:tcW w:type="dxa" w:w="166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3,00</w:t>
            </w:r>
          </w:p>
        </w:tc>
        <w:tc>
          <w:tcPr>
            <w:tcW w:type="dxa" w:w="166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3,00</w:t>
            </w:r>
          </w:p>
        </w:tc>
      </w:tr>
      <w:tr>
        <w:trPr>
          <w:cantSplit w:val="true"/>
        </w:trPr>
        <w:tc>
          <w:tcPr>
            <w:tcW w:type="dxa" w:w="8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A13</w:t>
            </w:r>
          </w:p>
        </w:tc>
        <w:tc>
          <w:tcPr>
            <w:tcW w:type="dxa" w:w="26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Класифікувати ціль і оцінити загрозу</w:t>
            </w:r>
          </w:p>
        </w:tc>
        <w:tc>
          <w:tcPr>
            <w:tcW w:type="dxa" w:w="109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4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0,02</w:t>
            </w:r>
          </w:p>
        </w:tc>
        <w:tc>
          <w:tcPr>
            <w:tcW w:type="dxa" w:w="166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20,00</w:t>
            </w:r>
          </w:p>
        </w:tc>
        <w:tc>
          <w:tcPr>
            <w:tcW w:type="dxa" w:w="166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20,00</w:t>
            </w:r>
          </w:p>
        </w:tc>
      </w:tr>
      <w:tr>
        <w:trPr>
          <w:cantSplit w:val="true"/>
        </w:trPr>
        <w:tc>
          <w:tcPr>
            <w:tcW w:type="dxa" w:w="8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A14</w:t>
            </w:r>
          </w:p>
        </w:tc>
        <w:tc>
          <w:tcPr>
            <w:tcW w:type="dxa" w:w="26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Підтвердити ціль</w:t>
            </w:r>
          </w:p>
        </w:tc>
        <w:tc>
          <w:tcPr>
            <w:tcW w:type="dxa" w:w="109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4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0,005</w:t>
            </w:r>
          </w:p>
        </w:tc>
        <w:tc>
          <w:tcPr>
            <w:tcW w:type="dxa" w:w="166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10,00</w:t>
            </w:r>
          </w:p>
        </w:tc>
        <w:tc>
          <w:tcPr>
            <w:tcW w:type="dxa" w:w="166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10,00</w:t>
            </w:r>
          </w:p>
        </w:tc>
      </w:tr>
      <w:tr>
        <w:trPr>
          <w:cantSplit w:val="true"/>
        </w:trPr>
        <w:tc>
          <w:tcPr>
            <w:tcW w:type="dxa" w:w="8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A2</w:t>
            </w:r>
          </w:p>
        </w:tc>
        <w:tc>
          <w:tcPr>
            <w:tcW w:type="dxa" w:w="26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Призначити перехоплення цілі</w:t>
            </w:r>
          </w:p>
        </w:tc>
        <w:tc>
          <w:tcPr>
            <w:tcW w:type="dxa" w:w="109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25</w:t>
            </w:r>
          </w:p>
        </w:tc>
        <w:tc>
          <w:tcPr>
            <w:tcW w:type="dxa" w:w="14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0,0175</w:t>
            </w:r>
          </w:p>
        </w:tc>
        <w:tc>
          <w:tcPr>
            <w:tcW w:type="dxa" w:w="166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56,80</w:t>
            </w:r>
          </w:p>
        </w:tc>
        <w:tc>
          <w:tcPr>
            <w:tcW w:type="dxa" w:w="166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1 420,00</w:t>
            </w:r>
          </w:p>
        </w:tc>
      </w:tr>
      <w:tr>
        <w:trPr>
          <w:cantSplit w:val="true"/>
        </w:trPr>
        <w:tc>
          <w:tcPr>
            <w:tcW w:type="dxa" w:w="8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A21</w:t>
            </w:r>
          </w:p>
        </w:tc>
        <w:tc>
          <w:tcPr>
            <w:tcW w:type="dxa" w:w="26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Перевірити деконфлікцію</w:t>
            </w:r>
          </w:p>
        </w:tc>
        <w:tc>
          <w:tcPr>
            <w:tcW w:type="dxa" w:w="109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4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0,001</w:t>
            </w:r>
          </w:p>
        </w:tc>
        <w:tc>
          <w:tcPr>
            <w:tcW w:type="dxa" w:w="166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2,00</w:t>
            </w:r>
          </w:p>
        </w:tc>
        <w:tc>
          <w:tcPr>
            <w:tcW w:type="dxa" w:w="166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2,00</w:t>
            </w:r>
          </w:p>
        </w:tc>
      </w:tr>
      <w:tr>
        <w:trPr>
          <w:cantSplit w:val="true"/>
        </w:trPr>
        <w:tc>
          <w:tcPr>
            <w:tcW w:type="dxa" w:w="8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A22</w:t>
            </w:r>
          </w:p>
        </w:tc>
        <w:tc>
          <w:tcPr>
            <w:tcW w:type="dxa" w:w="26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Обрати розрахунок</w:t>
            </w:r>
          </w:p>
        </w:tc>
        <w:tc>
          <w:tcPr>
            <w:tcW w:type="dxa" w:w="109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1,2</w:t>
            </w:r>
          </w:p>
        </w:tc>
        <w:tc>
          <w:tcPr>
            <w:tcW w:type="dxa" w:w="14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0,01</w:t>
            </w:r>
          </w:p>
        </w:tc>
        <w:tc>
          <w:tcPr>
            <w:tcW w:type="dxa" w:w="166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23,00</w:t>
            </w:r>
          </w:p>
        </w:tc>
        <w:tc>
          <w:tcPr>
            <w:tcW w:type="dxa" w:w="166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27,60</w:t>
            </w:r>
          </w:p>
        </w:tc>
      </w:tr>
      <w:tr>
        <w:trPr>
          <w:cantSplit w:val="true"/>
        </w:trPr>
        <w:tc>
          <w:tcPr>
            <w:tcW w:type="dxa" w:w="8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A23</w:t>
            </w:r>
          </w:p>
        </w:tc>
        <w:tc>
          <w:tcPr>
            <w:tcW w:type="dxa" w:w="26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Санкціонувати пуск</w:t>
            </w:r>
          </w:p>
        </w:tc>
        <w:tc>
          <w:tcPr>
            <w:tcW w:type="dxa" w:w="109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4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0,004</w:t>
            </w:r>
          </w:p>
        </w:tc>
        <w:tc>
          <w:tcPr>
            <w:tcW w:type="dxa" w:w="166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25,00</w:t>
            </w:r>
          </w:p>
        </w:tc>
        <w:tc>
          <w:tcPr>
            <w:tcW w:type="dxa" w:w="166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25,00</w:t>
            </w:r>
          </w:p>
        </w:tc>
      </w:tr>
      <w:tr>
        <w:trPr>
          <w:cantSplit w:val="true"/>
        </w:trPr>
        <w:tc>
          <w:tcPr>
            <w:tcW w:type="dxa" w:w="8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A24</w:t>
            </w:r>
          </w:p>
        </w:tc>
        <w:tc>
          <w:tcPr>
            <w:tcW w:type="dxa" w:w="26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Передати бойове завдання</w:t>
            </w:r>
          </w:p>
        </w:tc>
        <w:tc>
          <w:tcPr>
            <w:tcW w:type="dxa" w:w="109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1,1</w:t>
            </w:r>
          </w:p>
        </w:tc>
        <w:tc>
          <w:tcPr>
            <w:tcW w:type="dxa" w:w="14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0,0005</w:t>
            </w:r>
          </w:p>
        </w:tc>
        <w:tc>
          <w:tcPr>
            <w:tcW w:type="dxa" w:w="166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2,00</w:t>
            </w:r>
          </w:p>
        </w:tc>
        <w:tc>
          <w:tcPr>
            <w:tcW w:type="dxa" w:w="166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2,20</w:t>
            </w:r>
          </w:p>
        </w:tc>
      </w:tr>
      <w:tr>
        <w:trPr>
          <w:cantSplit w:val="true"/>
        </w:trPr>
        <w:tc>
          <w:tcPr>
            <w:tcW w:type="dxa" w:w="8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A3</w:t>
            </w:r>
          </w:p>
        </w:tc>
        <w:tc>
          <w:tcPr>
            <w:tcW w:type="dxa" w:w="26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Виконати місію перехоплення</w:t>
            </w:r>
          </w:p>
        </w:tc>
        <w:tc>
          <w:tcPr>
            <w:tcW w:type="dxa" w:w="109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22</w:t>
            </w:r>
          </w:p>
        </w:tc>
        <w:tc>
          <w:tcPr>
            <w:tcW w:type="dxa" w:w="14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0,5</w:t>
            </w:r>
          </w:p>
        </w:tc>
        <w:tc>
          <w:tcPr>
            <w:tcW w:type="dxa" w:w="166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70 750,00</w:t>
            </w:r>
          </w:p>
        </w:tc>
        <w:tc>
          <w:tcPr>
            <w:tcW w:type="dxa" w:w="166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1 556 500,00</w:t>
            </w:r>
          </w:p>
        </w:tc>
      </w:tr>
      <w:tr>
        <w:trPr>
          <w:cantSplit w:val="true"/>
        </w:trPr>
        <w:tc>
          <w:tcPr>
            <w:tcW w:type="dxa" w:w="8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A4</w:t>
            </w:r>
          </w:p>
        </w:tc>
        <w:tc>
          <w:tcPr>
            <w:tcW w:type="dxa" w:w="26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Оцінити результат і звітувати</w:t>
            </w:r>
          </w:p>
        </w:tc>
        <w:tc>
          <w:tcPr>
            <w:tcW w:type="dxa" w:w="109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22</w:t>
            </w:r>
          </w:p>
        </w:tc>
        <w:tc>
          <w:tcPr>
            <w:tcW w:type="dxa" w:w="14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0,25</w:t>
            </w:r>
          </w:p>
        </w:tc>
        <w:tc>
          <w:tcPr>
            <w:tcW w:type="dxa" w:w="166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220,00</w:t>
            </w:r>
          </w:p>
        </w:tc>
        <w:tc>
          <w:tcPr>
            <w:tcW w:type="dxa" w:w="166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4 840,00</w:t>
            </w:r>
          </w:p>
        </w:tc>
      </w:tr>
      <w:tr>
        <w:trPr>
          <w:cantSplit w:val="true"/>
        </w:trPr>
        <w:tc>
          <w:tcPr>
            <w:tcW w:type="dxa" w:w="86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A5</w:t>
            </w:r>
          </w:p>
        </w:tc>
        <w:tc>
          <w:tcPr>
            <w:tcW w:type="dxa" w:w="264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Забезпечити готовність ресурсів</w:t>
            </w:r>
          </w:p>
        </w:tc>
        <w:tc>
          <w:tcPr>
            <w:tcW w:type="dxa" w:w="109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43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8,00</w:t>
            </w:r>
          </w:p>
        </w:tc>
        <w:tc>
          <w:tcPr>
            <w:tcW w:type="dxa" w:w="166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9 300,00</w:t>
            </w:r>
          </w:p>
        </w:tc>
        <w:tc>
          <w:tcPr>
            <w:tcW w:type="dxa" w:w="166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9 300,00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4.4 — Розподіл вартості роботи А0 за центрами витрат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Центр витрат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Вартість за добу, грн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Частка, %</w:t>
            </w:r>
          </w:p>
        </w:tc>
      </w:tr>
      <w:tr>
        <w:trPr>
          <w:cantSplit w:val="true"/>
        </w:trPr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Перехоплювачі та АКБ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1 543 000,00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98,04</w:t>
            </w:r>
          </w:p>
        </w:tc>
      </w:tr>
      <w:tr>
        <w:trPr>
          <w:cantSplit w:val="true"/>
        </w:trPr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Оплата праці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22 475,00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1,43</w:t>
            </w:r>
          </w:p>
        </w:tc>
      </w:tr>
      <w:tr>
        <w:trPr>
          <w:cantSplit w:val="true"/>
        </w:trPr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Експлуатація ІС та обладнання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6 675,00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0,42</w:t>
            </w:r>
          </w:p>
        </w:tc>
      </w:tr>
      <w:tr>
        <w:trPr>
          <w:cantSplit w:val="true"/>
        </w:trPr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Управління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1 710,00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0,11</w:t>
            </w:r>
          </w:p>
        </w:tc>
      </w:tr>
      <w:tr>
        <w:trPr>
          <w:cantSplit w:val="true"/>
        </w:trPr>
        <w:tc>
          <w:tcPr>
            <w:tcW w:type="dxa" w:w="409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Разом</w:t>
            </w:r>
          </w:p>
        </w:tc>
        <w:tc>
          <w:tcPr>
            <w:tcW w:type="dxa" w:w="292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1 573 860,00</w:t>
            </w:r>
          </w:p>
        </w:tc>
        <w:tc>
          <w:tcPr>
            <w:tcW w:type="dxa" w:w="233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100,00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Аналіз звіту показує, що 98,0 % вартості припадає на центр витрат «Перехоплювачі та АКБ», тобто визначальним чинником є кількість витрачених перехоплювачів, Робота A3 «Виконати місію перехоплення» формує 98,9 % вартості, тоді як інформаційні функції A1 і A2, автоматизовані платформою «Щит-Лінк», коштують менше 0,2 %. Отже, найбільший економічний ефект дає не здешевлення обробки даних, а підвищення точності призначення цілей (зменшення повторних місій і промахів), яке забезпечують функції A1–A2.</w:t>
      </w:r>
    </w:p>
    <w:p>
      <w:pPr>
        <w:pStyle w:val="140"/>
        <w:keepNext/>
        <w:pageBreakBefore/>
        <w:widowControl/>
        <w:spacing w:line="360" w:lineRule="auto" w:before="120" w:after="120"/>
        <w:ind w:firstLine="709" w:left="0"/>
        <w:jc w:val="left"/>
      </w:pPr>
      <w:bookmarkStart w:id="7" w:name="_Toc000007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Звіти представлень та діяльності моделі</w:t>
      </w:r>
      <w:bookmarkEnd w:id="7"/>
    </w:p>
    <w:p>
      <w:pPr>
        <w:pStyle w:val="141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4.1. Властивості, визначувані користувачем, і Diagram Object Report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 словнику ключових слів (Dictionary / UDP Keywords) створено ключові слова: «Витрата ресурсів», «Документація», «Інформаційна система». У словнику UDP (Dictionary / UDP) створено властивості, наведені в табл. 4.5, і прив’язано до них ключові слова.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4.5 — Словник UDP і прив’язка ключових слів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Назва UDP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Тип (UDP Datatype)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Значення (Value)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Ключове слово</w:t>
            </w:r>
          </w:p>
        </w:tc>
      </w:tr>
      <w:tr>
        <w:trPr>
          <w:cantSplit w:val="true"/>
        </w:trPr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Модулі платформи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Text List (Multiple Selection)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Модуль збору телеметрії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Модуль ситуаційної обізнаності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Модуль координації перехоплення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Модуль ресурсів і звітності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Інформаційна система</w:t>
            </w:r>
          </w:p>
        </w:tc>
      </w:tr>
      <w:tr>
        <w:trPr>
          <w:cantSplit w:val="true"/>
        </w:trPr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Додаткова документація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Command List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Winword.exe instr_monitoring.docx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Winword.exe instr_interception.docx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Документація</w:t>
            </w:r>
          </w:p>
        </w:tc>
      </w:tr>
      <w:tr>
        <w:trPr>
          <w:cantSplit w:val="true"/>
        </w:trPr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Історія зміни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Paragraph Text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Документація</w:t>
            </w:r>
          </w:p>
        </w:tc>
      </w:tr>
      <w:tr>
        <w:trPr>
          <w:cantSplit w:val="true"/>
        </w:trPr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Ризик для цивільної інфраструктури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Text List (Single Selection)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Дуже високий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Високий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Середній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Низький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2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Енергоспоживання, кВт·год</w:t>
            </w:r>
          </w:p>
        </w:tc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Real Number</w:t>
            </w:r>
          </w:p>
        </w:tc>
        <w:tc>
          <w:tcPr>
            <w:tcW w:type="dxa" w:w="327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87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Витрата ресурсів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Значення UDP для робіт діаграми А0 задано у вкладці UDP Values вікна Activity Properties (табл. 4.6).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4.6 — Значення UDP робіт діаграми А0 (Activity Properties / UDP Values)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rPr>
          <w:tblHeader w:val="true"/>
          <w:cantSplit w:val="true"/>
        </w:trPr>
        <w:tc>
          <w:tcPr>
            <w:tcW w:type="dxa" w:w="100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Вузол</w:t>
            </w:r>
          </w:p>
        </w:tc>
        <w:tc>
          <w:tcPr>
            <w:tcW w:type="dxa" w:w="28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Робота</w:t>
            </w:r>
          </w:p>
        </w:tc>
        <w:tc>
          <w:tcPr>
            <w:tcW w:type="dxa" w:w="309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Модулі платформи</w:t>
            </w:r>
          </w:p>
        </w:tc>
        <w:tc>
          <w:tcPr>
            <w:tcW w:type="dxa" w:w="26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Додаткова документація</w:t>
            </w:r>
          </w:p>
        </w:tc>
        <w:tc>
          <w:tcPr>
            <w:tcW w:type="dxa" w:w="20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Історія зміни</w:t>
            </w:r>
          </w:p>
        </w:tc>
        <w:tc>
          <w:tcPr>
            <w:tcW w:type="dxa" w:w="15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Ризик для цивільної інфраструктури</w:t>
            </w:r>
          </w:p>
        </w:tc>
        <w:tc>
          <w:tcPr>
            <w:tcW w:type="dxa" w:w="14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Енергоспоживання, кВт·год</w:t>
            </w:r>
          </w:p>
        </w:tc>
      </w:tr>
      <w:tr>
        <w:trPr>
          <w:cantSplit w:val="true"/>
        </w:trPr>
        <w:tc>
          <w:tcPr>
            <w:tcW w:type="dxa" w:w="100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A1</w:t>
            </w:r>
          </w:p>
        </w:tc>
        <w:tc>
          <w:tcPr>
            <w:tcW w:type="dxa" w:w="28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Сформувати повітряну обстановку</w:t>
            </w:r>
          </w:p>
        </w:tc>
        <w:tc>
          <w:tcPr>
            <w:tcW w:type="dxa" w:w="309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Модуль збору телеметрії; Модуль ситуаційної обізнаності</w:t>
            </w:r>
          </w:p>
        </w:tc>
        <w:tc>
          <w:tcPr>
            <w:tcW w:type="dxa" w:w="26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Winword.exe instr_monitoring.docx</w:t>
            </w:r>
          </w:p>
        </w:tc>
        <w:tc>
          <w:tcPr>
            <w:tcW w:type="dxa" w:w="20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15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Низький</w:t>
            </w:r>
          </w:p>
        </w:tc>
        <w:tc>
          <w:tcPr>
            <w:tcW w:type="dxa" w:w="14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12</w:t>
            </w:r>
          </w:p>
        </w:tc>
      </w:tr>
      <w:tr>
        <w:trPr>
          <w:cantSplit w:val="true"/>
        </w:trPr>
        <w:tc>
          <w:tcPr>
            <w:tcW w:type="dxa" w:w="100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A2</w:t>
            </w:r>
          </w:p>
        </w:tc>
        <w:tc>
          <w:tcPr>
            <w:tcW w:type="dxa" w:w="28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Призначити перехоплення цілі</w:t>
            </w:r>
          </w:p>
        </w:tc>
        <w:tc>
          <w:tcPr>
            <w:tcW w:type="dxa" w:w="309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Модуль координації перехоплення</w:t>
            </w:r>
          </w:p>
        </w:tc>
        <w:tc>
          <w:tcPr>
            <w:tcW w:type="dxa" w:w="26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20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15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Середній</w:t>
            </w:r>
          </w:p>
        </w:tc>
        <w:tc>
          <w:tcPr>
            <w:tcW w:type="dxa" w:w="14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 w:val="true"/>
        </w:trPr>
        <w:tc>
          <w:tcPr>
            <w:tcW w:type="dxa" w:w="100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A3</w:t>
            </w:r>
          </w:p>
        </w:tc>
        <w:tc>
          <w:tcPr>
            <w:tcW w:type="dxa" w:w="28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Виконати місію перехоплення</w:t>
            </w:r>
          </w:p>
        </w:tc>
        <w:tc>
          <w:tcPr>
            <w:tcW w:type="dxa" w:w="309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Модуль координації перехоплення</w:t>
            </w:r>
          </w:p>
        </w:tc>
        <w:tc>
          <w:tcPr>
            <w:tcW w:type="dxa" w:w="26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Winword.exe instr_interception.docx</w:t>
            </w:r>
          </w:p>
        </w:tc>
        <w:tc>
          <w:tcPr>
            <w:tcW w:type="dxa" w:w="20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Додано підтвердження цілі оператором у фазі наведення</w:t>
            </w:r>
          </w:p>
        </w:tc>
        <w:tc>
          <w:tcPr>
            <w:tcW w:type="dxa" w:w="15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Високий</w:t>
            </w:r>
          </w:p>
        </w:tc>
        <w:tc>
          <w:tcPr>
            <w:tcW w:type="dxa" w:w="14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35</w:t>
            </w:r>
          </w:p>
        </w:tc>
      </w:tr>
      <w:tr>
        <w:trPr>
          <w:cantSplit w:val="true"/>
        </w:trPr>
        <w:tc>
          <w:tcPr>
            <w:tcW w:type="dxa" w:w="100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A4</w:t>
            </w:r>
          </w:p>
        </w:tc>
        <w:tc>
          <w:tcPr>
            <w:tcW w:type="dxa" w:w="28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Оцінити результат і звітувати</w:t>
            </w:r>
          </w:p>
        </w:tc>
        <w:tc>
          <w:tcPr>
            <w:tcW w:type="dxa" w:w="309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Модуль ресурсів і звітності</w:t>
            </w:r>
          </w:p>
        </w:tc>
        <w:tc>
          <w:tcPr>
            <w:tcW w:type="dxa" w:w="26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20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15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Середній</w:t>
            </w:r>
          </w:p>
        </w:tc>
        <w:tc>
          <w:tcPr>
            <w:tcW w:type="dxa" w:w="14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rPr>
          <w:cantSplit w:val="true"/>
        </w:trPr>
        <w:tc>
          <w:tcPr>
            <w:tcW w:type="dxa" w:w="100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A5</w:t>
            </w:r>
          </w:p>
        </w:tc>
        <w:tc>
          <w:tcPr>
            <w:tcW w:type="dxa" w:w="282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Забезпечити готовність ресурсів</w:t>
            </w:r>
          </w:p>
        </w:tc>
        <w:tc>
          <w:tcPr>
            <w:tcW w:type="dxa" w:w="309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Модуль ресурсів і звітності</w:t>
            </w:r>
          </w:p>
        </w:tc>
        <w:tc>
          <w:tcPr>
            <w:tcW w:type="dxa" w:w="264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200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154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Низький</w:t>
            </w:r>
          </w:p>
        </w:tc>
        <w:tc>
          <w:tcPr>
            <w:tcW w:type="dxa" w:w="145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40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Звіт Diagram Object Report (Tools / Reports / Diagram Object Report) сформовано у колонковому форматі (Columnar) для робіт діаграми А0. За допомогою фільтра (кнопка Filter) приховано UDP з ключовим словом «Документація», тому звіт (табл. 4.7) містить лише вартість і властивості з ключовими словами «Інформаційна система» та «Витрата ресурсів».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4.7 — Diagram Object Report для робіт діаграми А0 (UDP з ключовим словом «Документація» відфільтровано)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 w:val="true"/>
          <w:cantSplit w:val="true"/>
        </w:trPr>
        <w:tc>
          <w:tcPr>
            <w:tcW w:type="dxa" w:w="10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Вузол</w:t>
            </w:r>
          </w:p>
        </w:tc>
        <w:tc>
          <w:tcPr>
            <w:tcW w:type="dxa" w:w="32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Робота</w:t>
            </w:r>
          </w:p>
        </w:tc>
        <w:tc>
          <w:tcPr>
            <w:tcW w:type="dxa" w:w="201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Вартість, грн</w:t>
            </w:r>
          </w:p>
        </w:tc>
        <w:tc>
          <w:tcPr>
            <w:tcW w:type="dxa" w:w="403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Модулі платформи</w:t>
            </w:r>
          </w:p>
        </w:tc>
        <w:tc>
          <w:tcPr>
            <w:tcW w:type="dxa" w:w="21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Ризик для цивільної інфраструктури</w:t>
            </w:r>
          </w:p>
        </w:tc>
        <w:tc>
          <w:tcPr>
            <w:tcW w:type="dxa" w:w="201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Енергоспоживання, кВт·год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A1</w:t>
            </w:r>
          </w:p>
        </w:tc>
        <w:tc>
          <w:tcPr>
            <w:tcW w:type="dxa" w:w="32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Сформувати повітряну обстановку</w:t>
            </w:r>
          </w:p>
        </w:tc>
        <w:tc>
          <w:tcPr>
            <w:tcW w:type="dxa" w:w="201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45,00</w:t>
            </w:r>
          </w:p>
        </w:tc>
        <w:tc>
          <w:tcPr>
            <w:tcW w:type="dxa" w:w="403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Модуль збору телеметрії; Модуль ситуаційної обізнаності</w:t>
            </w:r>
          </w:p>
        </w:tc>
        <w:tc>
          <w:tcPr>
            <w:tcW w:type="dxa" w:w="21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Низький</w:t>
            </w:r>
          </w:p>
        </w:tc>
        <w:tc>
          <w:tcPr>
            <w:tcW w:type="dxa" w:w="201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12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A2</w:t>
            </w:r>
          </w:p>
        </w:tc>
        <w:tc>
          <w:tcPr>
            <w:tcW w:type="dxa" w:w="32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Призначити перехоплення цілі</w:t>
            </w:r>
          </w:p>
        </w:tc>
        <w:tc>
          <w:tcPr>
            <w:tcW w:type="dxa" w:w="201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56,80</w:t>
            </w:r>
          </w:p>
        </w:tc>
        <w:tc>
          <w:tcPr>
            <w:tcW w:type="dxa" w:w="403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Модуль координації перехоплення</w:t>
            </w:r>
          </w:p>
        </w:tc>
        <w:tc>
          <w:tcPr>
            <w:tcW w:type="dxa" w:w="21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Середній</w:t>
            </w:r>
          </w:p>
        </w:tc>
        <w:tc>
          <w:tcPr>
            <w:tcW w:type="dxa" w:w="201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A3</w:t>
            </w:r>
          </w:p>
        </w:tc>
        <w:tc>
          <w:tcPr>
            <w:tcW w:type="dxa" w:w="32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Виконати місію перехоплення</w:t>
            </w:r>
          </w:p>
        </w:tc>
        <w:tc>
          <w:tcPr>
            <w:tcW w:type="dxa" w:w="201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70 750,00</w:t>
            </w:r>
          </w:p>
        </w:tc>
        <w:tc>
          <w:tcPr>
            <w:tcW w:type="dxa" w:w="403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Модуль координації перехоплення</w:t>
            </w:r>
          </w:p>
        </w:tc>
        <w:tc>
          <w:tcPr>
            <w:tcW w:type="dxa" w:w="21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Високий</w:t>
            </w:r>
          </w:p>
        </w:tc>
        <w:tc>
          <w:tcPr>
            <w:tcW w:type="dxa" w:w="201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35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A4</w:t>
            </w:r>
          </w:p>
        </w:tc>
        <w:tc>
          <w:tcPr>
            <w:tcW w:type="dxa" w:w="32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Оцінити результат і звітувати</w:t>
            </w:r>
          </w:p>
        </w:tc>
        <w:tc>
          <w:tcPr>
            <w:tcW w:type="dxa" w:w="201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220,00</w:t>
            </w:r>
          </w:p>
        </w:tc>
        <w:tc>
          <w:tcPr>
            <w:tcW w:type="dxa" w:w="403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Модуль ресурсів і звітності</w:t>
            </w:r>
          </w:p>
        </w:tc>
        <w:tc>
          <w:tcPr>
            <w:tcW w:type="dxa" w:w="21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Середній</w:t>
            </w:r>
          </w:p>
        </w:tc>
        <w:tc>
          <w:tcPr>
            <w:tcW w:type="dxa" w:w="201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rPr>
          <w:cantSplit w:val="true"/>
        </w:trPr>
        <w:tc>
          <w:tcPr>
            <w:tcW w:type="dxa" w:w="100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A5</w:t>
            </w:r>
          </w:p>
        </w:tc>
        <w:tc>
          <w:tcPr>
            <w:tcW w:type="dxa" w:w="329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Забезпечити готовність ресурсів</w:t>
            </w:r>
          </w:p>
        </w:tc>
        <w:tc>
          <w:tcPr>
            <w:tcW w:type="dxa" w:w="201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9 300,00</w:t>
            </w:r>
          </w:p>
        </w:tc>
        <w:tc>
          <w:tcPr>
            <w:tcW w:type="dxa" w:w="403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Модуль ресурсів і звітності</w:t>
            </w:r>
          </w:p>
        </w:tc>
        <w:tc>
          <w:tcPr>
            <w:tcW w:type="dxa" w:w="219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Низький</w:t>
            </w:r>
          </w:p>
        </w:tc>
        <w:tc>
          <w:tcPr>
            <w:tcW w:type="dxa" w:w="201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40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pStyle w:val="141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4.2. Звіт про потоки даних (Arrow Report)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Звіт про стрілки діаграм DFD (табл. 4.8, 4.9) містить назву потоку, джерело, приймач і напрям (→ — однонапрямлений, ↔ — двонапрямлений потік); він слугує специфікацією інтерфейсів між компонентами платформи.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4.8 — Arrow Report: потоки даних діаграми DFD A4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5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Потік даних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Джерело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Приймач</w:t>
            </w:r>
          </w:p>
        </w:tc>
        <w:tc>
          <w:tcPr>
            <w:tcW w:type="dxa" w:w="118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Напрям</w:t>
            </w:r>
          </w:p>
        </w:tc>
      </w:tr>
      <w:tr>
        <w:trPr>
          <w:cantSplit w:val="true"/>
        </w:trPr>
        <w:tc>
          <w:tcPr>
            <w:tcW w:type="dxa" w:w="25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Доповідь, відео і телеметрія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E1 Розрахунок перехоплювачів (зовн. сутність)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A41 Зібрати докази перехоплення (процес)</w:t>
            </w:r>
          </w:p>
        </w:tc>
        <w:tc>
          <w:tcPr>
            <w:tcW w:type="dxa" w:w="118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→</w:t>
            </w:r>
          </w:p>
        </w:tc>
      </w:tr>
      <w:tr>
        <w:trPr>
          <w:cantSplit w:val="true"/>
        </w:trPr>
        <w:tc>
          <w:tcPr>
            <w:tcW w:type="dxa" w:w="25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Дані треку цілі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D1 Сховище треків (сховище)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A41 Зібрати докази перехоплення (процес)</w:t>
            </w:r>
          </w:p>
        </w:tc>
        <w:tc>
          <w:tcPr>
            <w:tcW w:type="dxa" w:w="118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→</w:t>
            </w:r>
          </w:p>
        </w:tc>
      </w:tr>
      <w:tr>
        <w:trPr>
          <w:cantSplit w:val="true"/>
        </w:trPr>
        <w:tc>
          <w:tcPr>
            <w:tcW w:type="dxa" w:w="25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Пакет доказів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A41 Зібрати докази перехоплення (процес)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A42 Оцінити результат перехоплення (процес)</w:t>
            </w:r>
          </w:p>
        </w:tc>
        <w:tc>
          <w:tcPr>
            <w:tcW w:type="dxa" w:w="118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→</w:t>
            </w:r>
          </w:p>
        </w:tc>
      </w:tr>
      <w:tr>
        <w:trPr>
          <w:cantSplit w:val="true"/>
        </w:trPr>
        <w:tc>
          <w:tcPr>
            <w:tcW w:type="dxa" w:w="25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Оцінка результату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A42 Оцінити результат перехоплення (процес)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D2 Архів місій (сховище)</w:t>
            </w:r>
          </w:p>
        </w:tc>
        <w:tc>
          <w:tcPr>
            <w:tcW w:type="dxa" w:w="118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→</w:t>
            </w:r>
          </w:p>
        </w:tc>
      </w:tr>
      <w:tr>
        <w:trPr>
          <w:cantSplit w:val="true"/>
        </w:trPr>
        <w:tc>
          <w:tcPr>
            <w:tcW w:type="dxa" w:w="25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Інформація про списаний перехоплювач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A42 Оцінити результат перехоплення (процес)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Міжсторінкове посилання (A5)</w:t>
            </w:r>
          </w:p>
        </w:tc>
        <w:tc>
          <w:tcPr>
            <w:tcW w:type="dxa" w:w="118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→</w:t>
            </w:r>
          </w:p>
        </w:tc>
      </w:tr>
      <w:tr>
        <w:trPr>
          <w:cantSplit w:val="true"/>
        </w:trPr>
        <w:tc>
          <w:tcPr>
            <w:tcW w:type="dxa" w:w="25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Дані місії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D2 Архів місій (сховище)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A43 Сформувати і надіслати звіти (процес)</w:t>
            </w:r>
          </w:p>
        </w:tc>
        <w:tc>
          <w:tcPr>
            <w:tcW w:type="dxa" w:w="118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→</w:t>
            </w:r>
          </w:p>
        </w:tc>
      </w:tr>
      <w:tr>
        <w:trPr>
          <w:cantSplit w:val="true"/>
        </w:trPr>
        <w:tc>
          <w:tcPr>
            <w:tcW w:type="dxa" w:w="25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Звіт / підтвердження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A43 Сформувати і надіслати звіти (процес)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E2 Вищий командний пункт (зовн. сутність)</w:t>
            </w:r>
          </w:p>
        </w:tc>
        <w:tc>
          <w:tcPr>
            <w:tcW w:type="dxa" w:w="118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↔</w:t>
            </w:r>
          </w:p>
        </w:tc>
      </w:tr>
      <w:tr>
        <w:trPr>
          <w:cantSplit w:val="true"/>
        </w:trPr>
        <w:tc>
          <w:tcPr>
            <w:tcW w:type="dxa" w:w="25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Статус треку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A43 Сформувати і надіслати звіти (процес)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D1 Сховище треків (сховище)</w:t>
            </w:r>
          </w:p>
        </w:tc>
        <w:tc>
          <w:tcPr>
            <w:tcW w:type="dxa" w:w="118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→</w:t>
            </w:r>
          </w:p>
        </w:tc>
      </w:tr>
      <w:tr>
        <w:trPr>
          <w:cantSplit w:val="true"/>
        </w:trPr>
        <w:tc>
          <w:tcPr>
            <w:tcW w:type="dxa" w:w="253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Координати падіння</w:t>
            </w:r>
          </w:p>
        </w:tc>
        <w:tc>
          <w:tcPr>
            <w:tcW w:type="dxa" w:w="281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A43 Сформувати і надіслати звіти (процес)</w:t>
            </w:r>
          </w:p>
        </w:tc>
        <w:tc>
          <w:tcPr>
            <w:tcW w:type="dxa" w:w="281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E3 ДСНС (зовн. сутність)</w:t>
            </w:r>
          </w:p>
        </w:tc>
        <w:tc>
          <w:tcPr>
            <w:tcW w:type="dxa" w:w="118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→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4.9 — Arrow Report: потоки даних діаграми DFD A5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5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Потік даних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Джерело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Приймач</w:t>
            </w:r>
          </w:p>
        </w:tc>
        <w:tc>
          <w:tcPr>
            <w:tcW w:type="dxa" w:w="118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Напрям</w:t>
            </w:r>
          </w:p>
        </w:tc>
      </w:tr>
      <w:tr>
        <w:trPr>
          <w:cantSplit w:val="true"/>
        </w:trPr>
        <w:tc>
          <w:tcPr>
            <w:tcW w:type="dxa" w:w="25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Повернена техніка, дані про витрату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E1 Розрахунок перехоплювачів (зовн. сутність)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A51 Провести післяпольотний контроль (процес)</w:t>
            </w:r>
          </w:p>
        </w:tc>
        <w:tc>
          <w:tcPr>
            <w:tcW w:type="dxa" w:w="118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→</w:t>
            </w:r>
          </w:p>
        </w:tc>
      </w:tr>
      <w:tr>
        <w:trPr>
          <w:cantSplit w:val="true"/>
        </w:trPr>
        <w:tc>
          <w:tcPr>
            <w:tcW w:type="dxa" w:w="25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Стан техніки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A51 Провести післяпольотний контроль (процес)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D3 Реєстр техніки (сховище)</w:t>
            </w:r>
          </w:p>
        </w:tc>
        <w:tc>
          <w:tcPr>
            <w:tcW w:type="dxa" w:w="118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↔</w:t>
            </w:r>
          </w:p>
        </w:tc>
      </w:tr>
      <w:tr>
        <w:trPr>
          <w:cantSplit w:val="true"/>
        </w:trPr>
        <w:tc>
          <w:tcPr>
            <w:tcW w:type="dxa" w:w="25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Результати контролю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A51 Провести післяпольотний контроль (процес)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A52 Оновити облік запасів і готовності (процес)</w:t>
            </w:r>
          </w:p>
        </w:tc>
        <w:tc>
          <w:tcPr>
            <w:tcW w:type="dxa" w:w="118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→</w:t>
            </w:r>
          </w:p>
        </w:tc>
      </w:tr>
      <w:tr>
        <w:trPr>
          <w:cantSplit w:val="true"/>
        </w:trPr>
        <w:tc>
          <w:tcPr>
            <w:tcW w:type="dxa" w:w="25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Інформація про списаний перехоплювач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Міжсторінкове посилання (A4)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A52 Оновити облік запасів і готовності (процес)</w:t>
            </w:r>
          </w:p>
        </w:tc>
        <w:tc>
          <w:tcPr>
            <w:tcW w:type="dxa" w:w="118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→</w:t>
            </w:r>
          </w:p>
        </w:tc>
      </w:tr>
      <w:tr>
        <w:trPr>
          <w:cantSplit w:val="true"/>
        </w:trPr>
        <w:tc>
          <w:tcPr>
            <w:tcW w:type="dxa" w:w="25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Залишки запасів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A52 Оновити облік запасів і готовності (процес)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D4 Облік запасів (сховище)</w:t>
            </w:r>
          </w:p>
        </w:tc>
        <w:tc>
          <w:tcPr>
            <w:tcW w:type="dxa" w:w="118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↔</w:t>
            </w:r>
          </w:p>
        </w:tc>
      </w:tr>
      <w:tr>
        <w:trPr>
          <w:cantSplit w:val="true"/>
        </w:trPr>
        <w:tc>
          <w:tcPr>
            <w:tcW w:type="dxa" w:w="25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Дані про готовність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A52 Оновити облік запасів і готовності (процес)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E5 Командний пункт (зовн. сутність)</w:t>
            </w:r>
          </w:p>
        </w:tc>
        <w:tc>
          <w:tcPr>
            <w:tcW w:type="dxa" w:w="118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→</w:t>
            </w:r>
          </w:p>
        </w:tc>
      </w:tr>
      <w:tr>
        <w:trPr>
          <w:cantSplit w:val="true"/>
        </w:trPr>
        <w:tc>
          <w:tcPr>
            <w:tcW w:type="dxa" w:w="25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Сигнал про низький запас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A52 Оновити облік запасів і готовності (процес)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A53 Сформувати заявку на поповнення (процес)</w:t>
            </w:r>
          </w:p>
        </w:tc>
        <w:tc>
          <w:tcPr>
            <w:tcW w:type="dxa" w:w="118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→</w:t>
            </w:r>
          </w:p>
        </w:tc>
      </w:tr>
      <w:tr>
        <w:trPr>
          <w:cantSplit w:val="true"/>
        </w:trPr>
        <w:tc>
          <w:tcPr>
            <w:tcW w:type="dxa" w:w="253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Норми запасів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D4 Облік запасів (сховище)</w:t>
            </w:r>
          </w:p>
        </w:tc>
        <w:tc>
          <w:tcPr>
            <w:tcW w:type="dxa" w:w="281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A53 Сформувати заявку на поповнення (процес)</w:t>
            </w:r>
          </w:p>
        </w:tc>
        <w:tc>
          <w:tcPr>
            <w:tcW w:type="dxa" w:w="118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→</w:t>
            </w:r>
          </w:p>
        </w:tc>
      </w:tr>
      <w:tr>
        <w:trPr>
          <w:cantSplit w:val="true"/>
        </w:trPr>
        <w:tc>
          <w:tcPr>
            <w:tcW w:type="dxa" w:w="253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Заявка / поставка</w:t>
            </w:r>
          </w:p>
        </w:tc>
        <w:tc>
          <w:tcPr>
            <w:tcW w:type="dxa" w:w="281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A53 Сформувати заявку на поповнення (процес)</w:t>
            </w:r>
          </w:p>
        </w:tc>
        <w:tc>
          <w:tcPr>
            <w:tcW w:type="dxa" w:w="281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E4 Постачальник (зовн. сутність)</w:t>
            </w:r>
          </w:p>
        </w:tc>
        <w:tc>
          <w:tcPr>
            <w:tcW w:type="dxa" w:w="118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↔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141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4.3. Звіт про використання сховищ даних (Data Usage Report)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Звіт про використання сховищ (табл. 4.10) показує, які процеси записують дані до кожного сховища та читають їх; на його основі визначено таблиці бази даних платформи.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4.10 — Data Usage Report: використання сховищ даних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Сховище</w:t>
            </w:r>
          </w:p>
        </w:tc>
        <w:tc>
          <w:tcPr>
            <w:tcW w:type="dxa" w:w="36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Записують (вхідні потоки)</w:t>
            </w:r>
          </w:p>
        </w:tc>
        <w:tc>
          <w:tcPr>
            <w:tcW w:type="dxa" w:w="36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Читають (вихідні потоки)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D1 Сховище треків</w:t>
            </w:r>
          </w:p>
        </w:tc>
        <w:tc>
          <w:tcPr>
            <w:tcW w:type="dxa" w:w="36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A43 — «Статус треку»</w:t>
            </w:r>
          </w:p>
        </w:tc>
        <w:tc>
          <w:tcPr>
            <w:tcW w:type="dxa" w:w="36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A41 — «Дані треку цілі»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D2 Архів місій</w:t>
            </w:r>
          </w:p>
        </w:tc>
        <w:tc>
          <w:tcPr>
            <w:tcW w:type="dxa" w:w="36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A42 — «Оцінка результату»</w:t>
            </w:r>
          </w:p>
        </w:tc>
        <w:tc>
          <w:tcPr>
            <w:tcW w:type="dxa" w:w="36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A43 — «Дані місії»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D3 Реєстр техніки</w:t>
            </w:r>
          </w:p>
        </w:tc>
        <w:tc>
          <w:tcPr>
            <w:tcW w:type="dxa" w:w="36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A51 — «Стан техніки»</w:t>
            </w:r>
          </w:p>
        </w:tc>
        <w:tc>
          <w:tcPr>
            <w:tcW w:type="dxa" w:w="36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A51 — «Стан техніки»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D4 Облік запасів</w:t>
            </w:r>
          </w:p>
        </w:tc>
        <w:tc>
          <w:tcPr>
            <w:tcW w:type="dxa" w:w="362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A52 — «Залишки запасів»</w:t>
            </w:r>
          </w:p>
        </w:tc>
        <w:tc>
          <w:tcPr>
            <w:tcW w:type="dxa" w:w="362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A52 — «Залишки запасів»</w:t>
            </w:r>
          </w:p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A53 — «Норми запасів»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141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4.4. Звіт про узгодженість моделі (Model Consistency Report)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Перевірку діаграм DFD на відповідність правилам побудови (лекція «Нотації IDEF3, DFD») наведено в табл. 4.11.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4.11 — Model Consistency Report: перевірка діаграм DFD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Діаграма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Правило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A4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Кількість процесів на діаграмі (рекомендовано 3–6/7)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 — виконано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A4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Відсутні потоки «сховище — сховище», «сутність — сутність», «сутність — сховище»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виконано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A4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Кожне сховище має вхідний і вихідний потоки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виконано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A4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Кожен процес має вхідні й вихідні потоки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виконано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A4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Усі потоки мають унікальні змістовні імена (іменники)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виконано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A5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Кількість процесів на діаграмі (рекомендовано 3–6/7)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 — виконано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A5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Відсутні потоки «сховище — сховище», «сутність — сутність», «сутність — сховище»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виконано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A5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Кожне сховище має вхідний і вихідний потоки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виконано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A5</w:t>
            </w:r>
          </w:p>
        </w:tc>
        <w:tc>
          <w:tcPr>
            <w:tcW w:type="dxa" w:w="58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Кожен процес має вхідні й вихідні потоки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виконано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A5</w:t>
            </w:r>
          </w:p>
        </w:tc>
        <w:tc>
          <w:tcPr>
            <w:tcW w:type="dxa" w:w="584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Усі потоки мають унікальні змістовні імена (іменники)</w:t>
            </w:r>
          </w:p>
        </w:tc>
        <w:tc>
          <w:tcPr>
            <w:tcW w:type="dxa" w:w="233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виконано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139"/>
        <w:keepNext/>
        <w:pageBreakBefore w:val="0"/>
        <w:widowControl/>
        <w:spacing w:line="360" w:lineRule="auto" w:before="240" w:after="240"/>
        <w:ind w:firstLine="0" w:left="0"/>
        <w:jc w:val="center"/>
      </w:pPr>
      <w:bookmarkStart w:id="8" w:name="_Toc000008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ГРАФІЧНА ЧАСТИНА</w:t>
      </w:r>
      <w:bookmarkEnd w:id="8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Діаграми розміщено у відповідних підрозділах ходу виконання роботи: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рис. 4.1 — діаграма DFD A4 «Оцінити результат і звітувати»;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рис. 4.2 — діаграма DFD A5 «Забезпечити готовність ресурсів» з міжсторінковим посиланням;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рис. 4.3 — діаграма А0 з відображенням вартості робіт (ABC Data).</w:t>
      </w:r>
    </w:p>
    <w:p>
      <w:pPr>
        <w:pStyle w:val="139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9" w:name="_Toc000009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ВИСНОВКИ</w:t>
      </w:r>
      <w:bookmarkEnd w:id="9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 лабораторній роботі вивчено нотацію DFD (Гейна — Сарсона) і побудовано дві діаграми потоків даних для задач, які виконуватиме IoT-платформа «Щит-Лінк»: DFD A4 (3 процеси, 2 сховища, 3 зовнішні сутності) і DFD A5 (3 процеси, 2 сховища, 3 зовнішні сутності), пов’язані міжсторінковим посиланням «Інформація про списаний перехоплювач». Діаграми відповідають правилам побудови DFD (табл. 4.11).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Виконано вартісний аналіз моделі: визначено 4 центри витрат, задано вартість, тривалість і частоту 11 робіт нижнього рівня, обчислено вартість декомпонованих робіт A1, A2 і А0. Вартість однієї доби роботи центру становить 1 573 860,00 грн (умовна оцінка), понад 98 % якої — витрати на перехоплювачі та АКБ.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Згенеровано звіт Activity Cost Report та чотири звіти представлень і діяльності моделі: Diagram Object Report з властивостями UDP (5 властивостей, 3 ключові слова, фільтрація за ключовим словом), Arrow Report для потоків даних, Data Usage Report для сховищ і Model Consistency Report. Отримані специфікації потоків і сховищ є основою для проєктування бази даних та інтерфейсів платформи.</w:t>
      </w:r>
    </w:p>
    <w:p>
      <w:pPr>
        <w:pStyle w:val="139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0" w:name="_Toc000010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СПИСОК ВИКОРИСТАНИХ ДЖЕРЕЛ</w:t>
      </w:r>
      <w:bookmarkEnd w:id="10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Гладка М. В. Проєктування інформаційних систем : конспект лекцій (лекція 5 «Нотації IDEF3, DFD»). Київ : КНУ імені Тараса Шевченка, 2026.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Пістунов І. М. Проектування інформаційних систем : навч. посіб. Дніпропетровськ : НГУ, 2008. 71 с.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Ременяк Л. В. Проектування інформаційних систем : конспект лекцій. Одеса : ОДЕкУ, 2016. 152 с.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Gane C., Sarson T. Structured Systems Analysis: Tools and Techniques. Prentice Hall, 1979.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5) ДСТУ 3008:2015. Інформація та документація. Звіти у сфері науки і техніки. Структура та правила оформлювання.</w:t>
      </w:r>
    </w:p>
    <w:sectPr>
      <w:footnotePr/>
      <w:endnotePr/>
      <w:pgSz w:h="16838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line="240" w:lineRule="auto" w:before="0" w:after="0"/>
      <w:ind w:firstLine="0" w:left="0"/>
      <w:jc w:val="center"/>
    </w:pPr>
    <w:r>
      <w:rPr>
        <w:rFonts w:ascii="Times New Roman" w:hAnsi="Times New Roman" w:cs="Times New Roman" w:eastAsia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Петро Кравченко</dc:creator>
  <cp:revision>1</cp:revision>
  <dcterms:modified xsi:type="dcterms:W3CDTF">2026-10-03T10:31:14Z</dcterms:modified>
  <dc:title>Лабораторна робота №4. Моделювання задач, які виконуватиме система. Декомпозиція задач. Побудова звітів</dc:title>
  <dc:subject>Проєктування інформаційних систем</dc:subject>
  <dc:language>uk-UA</dc:language>
</cp:coreProperties>
</file>