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Дерево цілей IoT-платформи «Щит-Лінк»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Дерево цілей, метод дезагрегації, «і/або»-дерево (лекція 2)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lab1/drawio/03_Дерево_цілей.drawio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Усе дерево цілей на одній схемі: генеральна мета, 5 цілей першого рівня, 15 вимірюваних цілей другого рівня і 30 заходів третього рівня.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дерево цілей системи. Генеральна мета, код 0, — «Забезпечення безпеки повітряного простору на території, яку покриває система», тобто IoT-платформа «Щит-Лінк». Вона вгорі, а гілки розгортаються зліва направо.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Безпеку повітряного простору я розумію так: усі цілі над територією вчасно виявляються, загрози нейтралізуються, а дружня авіація й населення не страждають. Звідси п’ять цілей першого рівня.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Метод — дезагрегація: платформа — створюваний об’єкт з формалізованими цілями, тому перший рівень — функціонально значущі цілі без альтернатив.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Ціль 1 — обізнаність про обстановку</w:t>
      </w:r>
      <w:r>
        <w:rPr>
          <w:rFonts w:ascii="Times New Roman" w:hAnsi="Times New Roman" w:eastAsia="Times New Roman"/>
          <w:b w:val="0"/>
          <w:i w:val="0"/>
          <w:sz w:val="26"/>
        </w:rPr>
        <w:t>: сенсорне покриття (доступність ≥ 97 %), єдина обстановка з різнотипних джерел, достовірні треки (хибні тривоги ≤ 5 %).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Ціль 2 — своєчасна нейтралізація загроз</w:t>
      </w:r>
      <w:r>
        <w:rPr>
          <w:rFonts w:ascii="Times New Roman" w:hAnsi="Times New Roman" w:eastAsia="Times New Roman"/>
          <w:b w:val="0"/>
          <w:i w:val="0"/>
          <w:sz w:val="26"/>
        </w:rPr>
        <w:t>: призначення ≤ 30 с, доставка завдання ≤ 1 с, супровід місії. Альтернативи 2.1.1а/2.1.1б — автопризначення з підтвердженням або ручний вибір з переліку.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Ціль 3 — безпека дружньої авіації та населення</w:t>
      </w:r>
      <w:r>
        <w:rPr>
          <w:rFonts w:ascii="Times New Roman" w:hAnsi="Times New Roman" w:eastAsia="Times New Roman"/>
          <w:b w:val="0"/>
          <w:i w:val="0"/>
          <w:sz w:val="26"/>
        </w:rPr>
        <w:t>: звірка з планами польотів, зони заборони ураження, рішення на пуск ухвалює людина (правило двох осіб).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Ціль 4 — готовність сил і засобів</w:t>
      </w:r>
      <w:r>
        <w:rPr>
          <w:rFonts w:ascii="Times New Roman" w:hAnsi="Times New Roman" w:eastAsia="Times New Roman"/>
          <w:b w:val="0"/>
          <w:i w:val="0"/>
          <w:sz w:val="26"/>
        </w:rPr>
        <w:t>: розрахунки, ресурс перехоплювачів і АКБ, запас ≥ 2 ночей.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Ціль 5 — стійка та захищена робота системи</w:t>
      </w:r>
      <w:r>
        <w:rPr>
          <w:rFonts w:ascii="Times New Roman" w:hAnsi="Times New Roman" w:eastAsia="Times New Roman"/>
          <w:b w:val="0"/>
          <w:i w:val="0"/>
          <w:sz w:val="26"/>
        </w:rPr>
        <w:t>: захист доступу, доступність ядра 99,95 % (альтернативи 5.2.1а/5.2.1б — гаряче чи холодне резервування), вдосконалення за аналізом.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Позначення.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Заходи кожної цілі другого рівня стоять поруч. Суцільна рамка — обов’язковий захід («і»), пунктирна — альтернатива («або»), з якої обирається одна.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генеральна мета — безпека повітряного простору, а не «перехоплення цілей»?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Перехоплення — лише спосіб. Мета, заради якої створюють систему, — щоб територія була захищена; за лекцією треба розрізняти мету створення ПЗ і мету, заради якої його створюють.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повністю п’ять цілей описують генеральну мету?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Так: щоб простір був безпечним, загрозу треба побачити (1), нейтралізувати (2), не зашкодити своїм (3), мати чим діяти (4) і щоб сама система не відмовила (5). Це повнота редукції.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незалежні цілі 2 і 3? Обмеження безпеки уповільнюють перехоплення.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Вони не виводяться одна з одної. Між ними компроміс, але не суперечність: призначення ≤ 30 с досяжне і з правилом двох осіб.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метод дезагрегації, а не метод забезпечення необхідних умов?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Дезагрегація — для формалізованих цілей створюваного об’єкта: система — підсистеми — елементи. Метод необхідних умов потребує незалежної експертизи; порівняння — в таблиці звіту.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За лекцією 2: цілі одного рівня порівнянні за масштабом, сукупність підцілей повністю описує батьківську ціль (повнота редукції), підцілі незалежні, а нижній рівень — заходи, які вже не є цілями.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Усе дерево вміщено на одну схему, як зауважила викладачка: формулювання стиснуто, а заходи однієї цілі стоять поруч, тож шрифт у звіті — не менше 10 пт.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Джерело схеми — дані GOALS у lab1/make_lab1.py, рисунок генерується автоматично (tools/idef_model.py, вид goaltree); файл draw.io отримано з того самого SVG.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