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69" w:lineRule="auto"/>
      </w:pPr>
      <w:r>
        <w:rPr>
          <w:rFonts w:ascii="Times New Roman" w:hAnsi="Times New Roman" w:eastAsia="Times New Roman"/>
          <w:b w:val="0"/>
          <w:i/>
          <w:color w:val="595959"/>
          <w:sz w:val="21"/>
        </w:rPr>
        <w:t>СУФЛЕР ДО ЗАХИСТУ · ЛР 1 · Вибір об’єкта дослідження, дерево цілей і WBS</w:t>
      </w:r>
    </w:p>
    <w:p>
      <w:pPr>
        <w:spacing w:before="0" w:after="120" w:line="269" w:lineRule="auto"/>
      </w:pPr>
      <w:r>
        <w:rPr>
          <w:rFonts w:ascii="Times New Roman" w:hAnsi="Times New Roman" w:eastAsia="Times New Roman"/>
          <w:b/>
          <w:i w:val="0"/>
          <w:sz w:val="34"/>
        </w:rPr>
        <w:t>WBS: субпроєкт 1.3 «Підсистема збору телеметрії»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Дисципліна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Проєктування інформаційних систем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Нотація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WBS (Work Breakdown Structure), продуктовий принцип, рівні 2–4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Файл draw.io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lab1/drawio/11_WBS_1.3.drawio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Порядок показу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6 з 10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Роль у системі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Роботи зі створення нижніх рівнів IoT-архітектури: шлюзи, адаптери протоколів, реєстр пристроїв.</w:t>
            </w:r>
          </w:p>
        </w:tc>
      </w:tr>
    </w:tbl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1. З чого почати відповідь</w:t>
      </w:r>
    </w:p>
    <w:p>
      <w:pPr>
        <w:spacing w:before="0" w:after="80" w:line="269" w:lineRule="auto"/>
        <w:ind w:left="227"/>
      </w:pPr>
      <w:r>
        <w:rPr>
          <w:rFonts w:ascii="Times New Roman" w:hAnsi="Times New Roman" w:eastAsia="Times New Roman"/>
          <w:b w:val="0"/>
          <w:i w:val="0"/>
          <w:sz w:val="27"/>
        </w:rPr>
        <w:t>Субпроєкт 1.3 — це все, що потрібно, щоб дані від сенсорів і перехоплювачів дійшли до ядра в єдиному форматі.</w:t>
      </w:r>
    </w:p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2. Покрокова екскурсія по схемі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1. </w:t>
      </w:r>
      <w:r>
        <w:rPr>
          <w:rFonts w:ascii="Times New Roman" w:hAnsi="Times New Roman" w:eastAsia="Times New Roman"/>
          <w:b/>
          <w:i w:val="0"/>
          <w:sz w:val="26"/>
        </w:rPr>
        <w:t>1.3.1 Периферійні шлюзи</w:t>
      </w:r>
      <w:r>
        <w:rPr>
          <w:rFonts w:ascii="Times New Roman" w:hAnsi="Times New Roman" w:eastAsia="Times New Roman"/>
          <w:b w:val="0"/>
          <w:i w:val="0"/>
          <w:sz w:val="26"/>
        </w:rPr>
        <w:t>: 1.3.1.1 постачання та налаштування 9 шлюзів — по одному на позицію, 1.3.1.2 буферизація даних з відкладеною передачею.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2. </w:t>
      </w:r>
      <w:r>
        <w:rPr>
          <w:rFonts w:ascii="Times New Roman" w:hAnsi="Times New Roman" w:eastAsia="Times New Roman"/>
          <w:b/>
          <w:i w:val="0"/>
          <w:sz w:val="26"/>
        </w:rPr>
        <w:t>1.3.2 Адаптери протоколів</w:t>
      </w:r>
      <w:r>
        <w:rPr>
          <w:rFonts w:ascii="Times New Roman" w:hAnsi="Times New Roman" w:eastAsia="Times New Roman"/>
          <w:b w:val="0"/>
          <w:i w:val="0"/>
          <w:sz w:val="26"/>
        </w:rPr>
        <w:t>: 1.3.2.1 MQTT для акустичних сенсорів, 1.3.2.2 ASTERIX для РЛС, 1.3.2.3 MAVLink 2 для наземних станцій.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3. </w:t>
      </w:r>
      <w:r>
        <w:rPr>
          <w:rFonts w:ascii="Times New Roman" w:hAnsi="Times New Roman" w:eastAsia="Times New Roman"/>
          <w:b/>
          <w:i w:val="0"/>
          <w:sz w:val="26"/>
        </w:rPr>
        <w:t>1.3.3 Реєстр пристроїв</w:t>
      </w:r>
      <w:r>
        <w:rPr>
          <w:rFonts w:ascii="Times New Roman" w:hAnsi="Times New Roman" w:eastAsia="Times New Roman"/>
          <w:b w:val="0"/>
          <w:i w:val="0"/>
          <w:sz w:val="26"/>
        </w:rPr>
        <w:t>: 1.3.3.1 реєстр сенсорів і перехоплювачів, 1.3.3.2 моніторинг стану пристроїв і сповіщення про збої.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4. </w:t>
      </w:r>
      <w:r>
        <w:rPr>
          <w:rFonts w:ascii="Times New Roman" w:hAnsi="Times New Roman" w:eastAsia="Times New Roman"/>
          <w:b/>
          <w:i w:val="0"/>
          <w:sz w:val="26"/>
        </w:rPr>
        <w:t>Коди.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Ієрархічне кодування 1.x / 1.x.x / 1.x.x.x — етап 5 розробки WBS «Формування системи кодування»: за кодом одразу видно, якому субпроєкту належить пакет.</w:t>
      </w:r>
    </w:p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3. Підводні камені та типові питання викладача</w:t>
      </w:r>
    </w:p>
    <w:p>
      <w:pPr>
        <w:keepNext/>
        <w:spacing w:before="80" w:after="20" w:line="269" w:lineRule="auto"/>
      </w:pPr>
      <w:r>
        <w:rPr>
          <w:rFonts w:ascii="Times New Roman" w:hAnsi="Times New Roman" w:eastAsia="Times New Roman"/>
          <w:b/>
          <w:i w:val="0"/>
          <w:color w:val="C00000"/>
          <w:sz w:val="26"/>
        </w:rPr>
        <w:t xml:space="preserve">Питання: </w:t>
      </w:r>
      <w:r>
        <w:rPr>
          <w:rFonts w:ascii="Times New Roman" w:hAnsi="Times New Roman" w:eastAsia="Times New Roman"/>
          <w:b/>
          <w:i w:val="0"/>
          <w:sz w:val="26"/>
        </w:rPr>
        <w:t>Чому 9 шлюзів?</w:t>
      </w:r>
    </w:p>
    <w:p>
      <w:pPr>
        <w:spacing w:before="0" w:after="80" w:line="269" w:lineRule="auto"/>
        <w:ind w:left="340"/>
      </w:pPr>
      <w:r>
        <w:rPr>
          <w:rFonts w:ascii="Times New Roman" w:hAnsi="Times New Roman" w:eastAsia="Times New Roman"/>
          <w:b/>
          <w:i w:val="0"/>
          <w:color w:val="1F6F3C"/>
          <w:sz w:val="26"/>
        </w:rPr>
        <w:t xml:space="preserve">Відповідь: </w:t>
      </w:r>
      <w:r>
        <w:rPr>
          <w:rFonts w:ascii="Times New Roman" w:hAnsi="Times New Roman" w:eastAsia="Times New Roman"/>
          <w:b w:val="0"/>
          <w:i w:val="0"/>
          <w:sz w:val="26"/>
        </w:rPr>
        <w:t>У центрі 9 вогневих позицій, на кожній — власний шлюз, щоб позиція могла працювати автономно.</w:t>
      </w:r>
    </w:p>
    <w:p>
      <w:pPr>
        <w:keepNext/>
        <w:spacing w:before="80" w:after="20" w:line="269" w:lineRule="auto"/>
      </w:pPr>
      <w:r>
        <w:rPr>
          <w:rFonts w:ascii="Times New Roman" w:hAnsi="Times New Roman" w:eastAsia="Times New Roman"/>
          <w:b/>
          <w:i w:val="0"/>
          <w:color w:val="C00000"/>
          <w:sz w:val="26"/>
        </w:rPr>
        <w:t xml:space="preserve">Питання: </w:t>
      </w:r>
      <w:r>
        <w:rPr>
          <w:rFonts w:ascii="Times New Roman" w:hAnsi="Times New Roman" w:eastAsia="Times New Roman"/>
          <w:b/>
          <w:i w:val="0"/>
          <w:sz w:val="26"/>
        </w:rPr>
        <w:t>Адаптери — це три окремі пакети. Чому не один «адаптери протоколів»?</w:t>
      </w:r>
    </w:p>
    <w:p>
      <w:pPr>
        <w:spacing w:before="0" w:after="80" w:line="269" w:lineRule="auto"/>
        <w:ind w:left="340"/>
      </w:pPr>
      <w:r>
        <w:rPr>
          <w:rFonts w:ascii="Times New Roman" w:hAnsi="Times New Roman" w:eastAsia="Times New Roman"/>
          <w:b/>
          <w:i w:val="0"/>
          <w:color w:val="1F6F3C"/>
          <w:sz w:val="26"/>
        </w:rPr>
        <w:t xml:space="preserve">Відповідь: </w:t>
      </w:r>
      <w:r>
        <w:rPr>
          <w:rFonts w:ascii="Times New Roman" w:hAnsi="Times New Roman" w:eastAsia="Times New Roman"/>
          <w:b w:val="0"/>
          <w:i w:val="0"/>
          <w:sz w:val="26"/>
        </w:rPr>
        <w:t>Кожен протокол — окремий результат з власним виконавцем і тестуванням; за принципом унікальності WBS кожен елемент має свого відповідального.</w:t>
      </w:r>
    </w:p>
    <w:p>
      <w:pPr>
        <w:keepNext/>
        <w:spacing w:before="80" w:after="20" w:line="269" w:lineRule="auto"/>
      </w:pPr>
      <w:r>
        <w:rPr>
          <w:rFonts w:ascii="Times New Roman" w:hAnsi="Times New Roman" w:eastAsia="Times New Roman"/>
          <w:b/>
          <w:i w:val="0"/>
          <w:color w:val="C00000"/>
          <w:sz w:val="26"/>
        </w:rPr>
        <w:t xml:space="preserve">Питання: </w:t>
      </w:r>
      <w:r>
        <w:rPr>
          <w:rFonts w:ascii="Times New Roman" w:hAnsi="Times New Roman" w:eastAsia="Times New Roman"/>
          <w:b/>
          <w:i w:val="0"/>
          <w:sz w:val="26"/>
        </w:rPr>
        <w:t>Буферизація — навіщо окремим пакетом?</w:t>
      </w:r>
    </w:p>
    <w:p>
      <w:pPr>
        <w:spacing w:before="0" w:after="80" w:line="269" w:lineRule="auto"/>
        <w:ind w:left="340"/>
      </w:pPr>
      <w:r>
        <w:rPr>
          <w:rFonts w:ascii="Times New Roman" w:hAnsi="Times New Roman" w:eastAsia="Times New Roman"/>
          <w:b/>
          <w:i w:val="0"/>
          <w:color w:val="1F6F3C"/>
          <w:sz w:val="26"/>
        </w:rPr>
        <w:t xml:space="preserve">Відповідь: </w:t>
      </w:r>
      <w:r>
        <w:rPr>
          <w:rFonts w:ascii="Times New Roman" w:hAnsi="Times New Roman" w:eastAsia="Times New Roman"/>
          <w:b w:val="0"/>
          <w:i w:val="0"/>
          <w:sz w:val="26"/>
        </w:rPr>
        <w:t>Це захід 1.1.2 дерева цілей «Буферизація при втраті зв’язку»: без буфера дані при втраті каналу губляться.</w:t>
      </w:r>
    </w:p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4. Що відповісти, якщо придереться</w:t>
      </w:r>
    </w:p>
    <w:p>
      <w:pPr>
        <w:spacing w:before="0" w:after="60" w:line="269" w:lineRule="auto"/>
        <w:ind w:left="340" w:hanging="283"/>
      </w:pPr>
      <w:r>
        <w:rPr>
          <w:rFonts w:ascii="Times New Roman" w:hAnsi="Times New Roman" w:eastAsia="Times New Roman"/>
          <w:b w:val="0"/>
          <w:i w:val="0"/>
          <w:color w:val="1F3864"/>
          <w:sz w:val="26"/>
        </w:rPr>
        <w:t xml:space="preserve">▸ </w:t>
      </w:r>
      <w:r>
        <w:rPr>
          <w:rFonts w:ascii="Times New Roman" w:hAnsi="Times New Roman" w:eastAsia="Times New Roman"/>
          <w:b w:val="0"/>
          <w:i w:val="0"/>
          <w:sz w:val="26"/>
        </w:rPr>
        <w:t>Робочий пакет деталізовано до рівня, який можна оцінити за тривалістю й вартістю та доручити одному відповідальному (10–60 робочих днів) — це етап 1 «Визначення ступеня деталізації».</w:t>
      </w:r>
    </w:p>
    <w:p>
      <w:pPr>
        <w:spacing w:before="0" w:after="60" w:line="269" w:lineRule="auto"/>
        <w:ind w:left="340" w:hanging="283"/>
      </w:pPr>
      <w:r>
        <w:rPr>
          <w:rFonts w:ascii="Times New Roman" w:hAnsi="Times New Roman" w:eastAsia="Times New Roman"/>
          <w:b w:val="0"/>
          <w:i w:val="0"/>
          <w:color w:val="1F3864"/>
          <w:sz w:val="26"/>
        </w:rPr>
        <w:t xml:space="preserve">▸ </w:t>
      </w:r>
      <w:r>
        <w:rPr>
          <w:rFonts w:ascii="Times New Roman" w:hAnsi="Times New Roman" w:eastAsia="Times New Roman"/>
          <w:b w:val="0"/>
          <w:i w:val="0"/>
          <w:sz w:val="26"/>
        </w:rPr>
        <w:t>Якщо спитають, де зроблено схему: джерело — текстовий опис Mermaid (lab1/diagrams/*.mmd), з якого рисунок у звіті будується автоматично з контролем читабельності; файл draw.io отримано з того самого опису й розміщення, тому вони однакові. У draw.io можу наживо пересунути чи перейменувати вузол.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