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A119ED9">
      <w:pPr>
        <w:pBdr/>
        <w:spacing/>
        <w:ind w:firstLine="709"/>
        <w:jc w:val="center"/>
        <w:rPr>
          <w:rFonts w:ascii="Times New Roman" w:hAnsi="Times New Roman" w:cs="Times New Roman"/>
          <w:sz w:val="28"/>
          <w:szCs w:val="28"/>
        </w:rPr>
      </w:pPr>
      <w:r>
        <w:rPr>
          <w:rFonts w:ascii="Times New Roman" w:hAnsi="Times New Roman" w:eastAsia="Times New Roman" w:cs="Times New Roman"/>
          <w:sz w:val="28"/>
          <w:szCs w:val="28"/>
        </w:rPr>
        <w:t xml:space="preserve">МІНІСТЕРСТВО ОСВІТИ I НАУКИ УКРАЇНИ</w:t>
      </w:r>
      <w:r>
        <w:rPr>
          <w:rFonts w:ascii="Times New Roman" w:hAnsi="Times New Roman" w:cs="Times New Roman"/>
          <w:sz w:val="28"/>
          <w:szCs w:val="28"/>
        </w:rPr>
      </w:r>
      <w:r>
        <w:rPr>
          <w:rFonts w:ascii="Times New Roman" w:hAnsi="Times New Roman" w:cs="Times New Roman"/>
          <w:sz w:val="28"/>
          <w:szCs w:val="28"/>
        </w:rPr>
      </w:r>
    </w:p>
    <w:p w14:paraId="5324A9C7">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КИЇВСЬКИЙ НАЦІОНАЛЬНИЙ УНІВЕРСИТЕТ ІМЕНІ ТАРАСА ШЕВЧЕНКА</w:t>
      </w:r>
      <w:r>
        <w:rPr>
          <w:rFonts w:ascii="Times New Roman" w:hAnsi="Times New Roman" w:cs="Times New Roman"/>
          <w:sz w:val="28"/>
          <w:szCs w:val="28"/>
        </w:rPr>
      </w:r>
      <w:r>
        <w:rPr>
          <w:rFonts w:ascii="Times New Roman" w:hAnsi="Times New Roman" w:cs="Times New Roman"/>
          <w:sz w:val="28"/>
          <w:szCs w:val="28"/>
        </w:rPr>
      </w:r>
    </w:p>
    <w:p w14:paraId="660A397E">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ФАКУЛЬТЕТ ІНФОРМАЦІЙНИХ ТЕХНОЛОГІЙ</w:t>
      </w:r>
      <w:r>
        <w:rPr>
          <w:rFonts w:ascii="Times New Roman" w:hAnsi="Times New Roman" w:cs="Times New Roman"/>
          <w:sz w:val="28"/>
          <w:szCs w:val="28"/>
        </w:rPr>
      </w:r>
      <w:r>
        <w:rPr>
          <w:rFonts w:ascii="Times New Roman" w:hAnsi="Times New Roman" w:cs="Times New Roman"/>
          <w:sz w:val="28"/>
          <w:szCs w:val="28"/>
        </w:rPr>
      </w:r>
    </w:p>
    <w:p w14:paraId="12AA494F">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КАФЕДРА ІНФОРМАЦІЙНИХ СИСТЕМ ТА ТЕХНОЛОГІЙ</w:t>
      </w:r>
      <w:r>
        <w:rPr>
          <w:rFonts w:ascii="Times New Roman" w:hAnsi="Times New Roman" w:cs="Times New Roman"/>
          <w:sz w:val="28"/>
          <w:szCs w:val="28"/>
        </w:rPr>
      </w:r>
      <w:r>
        <w:rPr>
          <w:rFonts w:ascii="Times New Roman" w:hAnsi="Times New Roman" w:cs="Times New Roman"/>
          <w:sz w:val="28"/>
          <w:szCs w:val="28"/>
        </w:rPr>
      </w:r>
    </w:p>
    <w:p w14:paraId="32FFBB8C">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br/>
        <w:t xml:space="preserve">  </w:t>
      </w:r>
      <w:r>
        <w:rPr>
          <w:rFonts w:ascii="Times New Roman" w:hAnsi="Times New Roman" w:cs="Times New Roman"/>
          <w:sz w:val="28"/>
          <w:szCs w:val="28"/>
        </w:rPr>
      </w:r>
      <w:r>
        <w:rPr>
          <w:rFonts w:ascii="Times New Roman" w:hAnsi="Times New Roman" w:cs="Times New Roman"/>
          <w:sz w:val="28"/>
          <w:szCs w:val="28"/>
        </w:rPr>
      </w:r>
    </w:p>
    <w:p w14:paraId="0D8A9E5B">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Лабораторна робота № </w:t>
      </w:r>
      <w:r>
        <w:rPr>
          <w:rFonts w:ascii="Times New Roman" w:hAnsi="Times New Roman" w:cs="Times New Roman"/>
          <w:b/>
          <w:sz w:val="28"/>
          <w:szCs w:val="28"/>
        </w:rPr>
        <w:t>1</w:t>
      </w:r>
      <w:r>
        <w:rPr>
          <w:rFonts w:ascii="Times New Roman" w:hAnsi="Times New Roman" w:cs="Times New Roman"/>
          <w:sz w:val="28"/>
          <w:szCs w:val="28"/>
        </w:rPr>
      </w:r>
    </w:p>
    <w:p w14:paraId="19E07F4D">
      <w:pPr>
        <w:pBdr/>
        <w:spacing/>
        <w:ind/>
        <w:jc w:val="center"/>
        <w:rPr>
          <w:rFonts w:ascii="Times New Roman" w:hAnsi="Times New Roman" w:cs="Times New Roman"/>
        </w:rPr>
      </w:pPr>
      <w:r>
        <w:rPr>
          <w:rFonts w:ascii="Times New Roman" w:hAnsi="Times New Roman" w:eastAsia="Times New Roman" w:cs="Times New Roman"/>
          <w:sz w:val="28"/>
          <w:szCs w:val="28"/>
        </w:rPr>
        <w:t xml:space="preserve">з дисципліни </w:t>
      </w:r>
      <w:r>
        <w:rPr>
          <w:rFonts w:ascii="Times New Roman" w:hAnsi="Times New Roman" w:eastAsia="Times New Roman" w:cs="Times New Roman"/>
          <w:b/>
          <w:bCs/>
          <w:sz w:val="28"/>
          <w:szCs w:val="28"/>
        </w:rPr>
        <w:t xml:space="preserve">«</w:t>
      </w:r>
      <w:r>
        <w:rPr>
          <w:rFonts w:ascii="Times New Roman" w:hAnsi="Times New Roman" w:eastAsia="Times New Roman" w:cs="Times New Roman"/>
          <w:b/>
          <w:sz w:val="28"/>
        </w:rPr>
      </w:r>
      <w:r>
        <w:rPr>
          <w:rFonts w:ascii="Times New Roman" w:hAnsi="Times New Roman" w:eastAsia="Times New Roman" w:cs="Times New Roman"/>
          <w:b/>
          <w:sz w:val="28"/>
        </w:rPr>
        <w:t xml:space="preserve">Проєктування інформаційних систем</w:t>
      </w:r>
      <w:r>
        <w:rPr>
          <w:rFonts w:ascii="Times New Roman" w:hAnsi="Times New Roman" w:eastAsia="Times New Roman" w:cs="Times New Roman"/>
          <w:b/>
          <w:sz w:val="28"/>
        </w:rPr>
      </w:r>
      <w:r>
        <w:rPr>
          <w:rFonts w:ascii="Times New Roman" w:hAnsi="Times New Roman" w:eastAsia="Times New Roman" w:cs="Times New Roman"/>
          <w:b/>
          <w:bCs/>
          <w:sz w:val="28"/>
          <w:szCs w:val="28"/>
        </w:rPr>
        <w:t xml:space="preserve">»</w:t>
      </w:r>
      <w:r>
        <w:rPr>
          <w:rFonts w:ascii="Times New Roman" w:hAnsi="Times New Roman" w:cs="Times New Roman"/>
        </w:rPr>
      </w:r>
      <w:r>
        <w:rPr>
          <w:rFonts w:ascii="Times New Roman" w:hAnsi="Times New Roman" w:cs="Times New Roman"/>
        </w:rPr>
      </w:r>
    </w:p>
    <w:p w14:paraId="1B905C1F">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br/>
      </w:r>
      <w:r>
        <w:rPr>
          <w:rFonts w:ascii="Times New Roman" w:hAnsi="Times New Roman" w:cs="Times New Roman"/>
          <w:sz w:val="28"/>
          <w:szCs w:val="28"/>
        </w:rPr>
      </w:r>
      <w:r>
        <w:rPr>
          <w:rFonts w:ascii="Times New Roman" w:hAnsi="Times New Roman" w:cs="Times New Roman"/>
          <w:sz w:val="28"/>
          <w:szCs w:val="28"/>
        </w:rPr>
      </w:r>
    </w:p>
    <w:p w14:paraId="7C1C88FC">
      <w:pPr>
        <w:pBdr/>
        <w:spacing/>
        <w:ind/>
        <w:jc w:val="center"/>
        <w:rPr>
          <w:sz w:val="28"/>
          <w:szCs w:val="28"/>
        </w:rPr>
      </w:pPr>
      <w:r>
        <w:rPr>
          <w:rFonts w:ascii="Times New Roman" w:hAnsi="Times New Roman" w:eastAsia="Times New Roman" w:cs="Times New Roman"/>
          <w:sz w:val="28"/>
          <w:szCs w:val="28"/>
        </w:rPr>
        <w:t xml:space="preserve">Тема: «</w:t>
      </w:r>
      <w:r>
        <w:rPr>
          <w:rFonts w:ascii="Times New Roman" w:hAnsi="Times New Roman" w:eastAsia="Times New Roman" w:cs="Times New Roman"/>
          <w:sz w:val="28"/>
          <w:szCs w:val="28"/>
        </w:rPr>
        <w:t>Вибір об’єкту дослідження. Формулювання задач, які потребують автоматизації. Побудова дерева цілей автоматизованої системи. Проведення WBS-аналізу</w:t>
      </w:r>
      <w:r>
        <w:rPr>
          <w:rFonts w:ascii="Times New Roman" w:hAnsi="Times New Roman" w:eastAsia="Times New Roman" w:cs="Times New Roman"/>
          <w:b/>
          <w:bCs/>
          <w:sz w:val="28"/>
          <w:szCs w:val="28"/>
        </w:rPr>
        <w:t xml:space="preserve">»</w:t>
      </w:r>
      <w:r>
        <w:rPr>
          <w:rFonts w:ascii="Times New Roman" w:hAnsi="Times New Roman" w:eastAsia="Times New Roman" w:cs="Times New Roman"/>
          <w:sz w:val="28"/>
          <w:szCs w:val="28"/>
        </w:rPr>
        <w:br/>
      </w:r>
      <w:r>
        <w:rPr>
          <w:rFonts w:ascii="Times New Roman" w:hAnsi="Times New Roman" w:eastAsia="Times New Roman" w:cs="Times New Roman"/>
          <w:sz w:val="28"/>
          <w:szCs w:val="28"/>
        </w:rPr>
        <w:t xml:space="preserve"> </w:t>
      </w:r>
      <w:r>
        <w:rPr>
          <w:sz w:val="28"/>
          <w:szCs w:val="28"/>
        </w:rPr>
      </w:r>
      <w:r>
        <w:rPr>
          <w:sz w:val="28"/>
          <w:szCs w:val="28"/>
        </w:rPr>
      </w:r>
    </w:p>
    <w:p w14:paraId="6F222511">
      <w:pPr>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p w14:paraId="18929217">
      <w:pPr>
        <w:pBdr/>
        <w:spacing/>
        <w:ind/>
        <w:jc w:val="center"/>
        <w:rPr>
          <w:rFonts w:ascii="Times New Roman" w:hAnsi="Times New Roman" w:cs="Times New Roman"/>
          <w:b/>
          <w:bCs/>
          <w:sz w:val="28"/>
          <w:szCs w:val="28"/>
        </w:rPr>
      </w:pPr>
      <w:r>
        <w:rPr>
          <w:rFonts w:ascii="Times New Roman" w:hAnsi="Times New Roman" w:cs="Times New Roman"/>
          <w:b/>
          <w:bCs/>
          <w:sz w:val="28"/>
          <w:szCs w:val="28"/>
          <w:highlight w:val="none"/>
        </w:rPr>
      </w:r>
      <w:r>
        <w:rPr>
          <w:rFonts w:ascii="Times New Roman" w:hAnsi="Times New Roman" w:cs="Times New Roman"/>
          <w:b/>
          <w:bCs/>
          <w:sz w:val="28"/>
          <w:szCs w:val="28"/>
        </w:rPr>
      </w:r>
      <w:r>
        <w:rPr>
          <w:rFonts w:ascii="Times New Roman" w:hAnsi="Times New Roman" w:cs="Times New Roman"/>
          <w:b/>
          <w:bCs/>
          <w:sz w:val="28"/>
          <w:szCs w:val="28"/>
        </w:rPr>
      </w:r>
    </w:p>
    <w:p w14:paraId="1CB31CD6">
      <w:pPr>
        <w:pBdr/>
        <w:spacing/>
        <w:ind/>
        <w:jc w:val="right"/>
        <w:rPr>
          <w:rFonts w:ascii="Times New Roman" w:hAnsi="Times New Roman" w:cs="Times New Roman"/>
          <w:sz w:val="28"/>
          <w:szCs w:val="28"/>
        </w:rPr>
      </w:pPr>
      <w:r>
        <w:rPr>
          <w:rFonts w:ascii="Times New Roman" w:hAnsi="Times New Roman" w:eastAsia="Times New Roman" w:cs="Times New Roman"/>
          <w:b/>
          <w:bCs/>
          <w:sz w:val="28"/>
          <w:szCs w:val="28"/>
        </w:rPr>
        <w:t xml:space="preserve">                                                                 Виконав:</w:t>
      </w:r>
      <w:r>
        <w:rPr>
          <w:rFonts w:ascii="Times New Roman" w:hAnsi="Times New Roman" w:eastAsia="Times New Roman" w:cs="Times New Roman"/>
          <w:sz w:val="28"/>
          <w:szCs w:val="28"/>
        </w:rPr>
        <w:t xml:space="preserve">  </w:t>
      </w:r>
      <w:r>
        <w:rPr>
          <w:rFonts w:ascii="Times New Roman" w:hAnsi="Times New Roman" w:cs="Times New Roman"/>
          <w:sz w:val="28"/>
          <w:szCs w:val="28"/>
        </w:rPr>
      </w:r>
      <w:r>
        <w:rPr>
          <w:rFonts w:ascii="Times New Roman" w:hAnsi="Times New Roman" w:cs="Times New Roman"/>
          <w:sz w:val="28"/>
          <w:szCs w:val="28"/>
        </w:rPr>
      </w:r>
    </w:p>
    <w:p w14:paraId="4CB43C91">
      <w:pPr>
        <w:pBdr/>
        <w:spacing/>
        <w:ind/>
        <w:jc w:val="right"/>
        <w:rPr>
          <w:rFonts w:ascii="Times New Roman" w:hAnsi="Times New Roman" w:cs="Times New Roman"/>
          <w:sz w:val="28"/>
          <w:szCs w:val="28"/>
        </w:rPr>
      </w:pPr>
      <w:r>
        <w:rPr>
          <w:rFonts w:ascii="Times New Roman" w:hAnsi="Times New Roman" w:eastAsia="Times New Roman" w:cs="Times New Roman"/>
          <w:sz w:val="28"/>
          <w:szCs w:val="28"/>
        </w:rPr>
        <w:t xml:space="preserve">                                                                              студент гр. ІР-31  </w:t>
      </w:r>
      <w:r>
        <w:rPr>
          <w:rFonts w:ascii="Times New Roman" w:hAnsi="Times New Roman" w:cs="Times New Roman"/>
          <w:sz w:val="28"/>
          <w:szCs w:val="28"/>
        </w:rPr>
      </w:r>
      <w:r>
        <w:rPr>
          <w:rFonts w:ascii="Times New Roman" w:hAnsi="Times New Roman" w:cs="Times New Roman"/>
          <w:sz w:val="28"/>
          <w:szCs w:val="28"/>
        </w:rPr>
      </w:r>
    </w:p>
    <w:p w14:paraId="6684BA6D">
      <w:pPr>
        <w:pBdr/>
        <w:spacing/>
        <w:ind/>
        <w:jc w:val="right"/>
        <w:rPr>
          <w:rFonts w:ascii="Times New Roman" w:hAnsi="Times New Roman" w:cs="Times New Roman"/>
          <w:sz w:val="28"/>
          <w:szCs w:val="28"/>
        </w:rPr>
      </w:pPr>
      <w:r>
        <w:rPr>
          <w:rFonts w:ascii="Times New Roman" w:hAnsi="Times New Roman" w:eastAsia="Times New Roman" w:cs="Times New Roman"/>
          <w:sz w:val="28"/>
          <w:szCs w:val="28"/>
        </w:rPr>
        <w:t xml:space="preserve">                                                                       </w:t>
      </w:r>
      <w:r>
        <w:rPr>
          <w:rFonts w:ascii="Times New Roman" w:hAnsi="Times New Roman" w:eastAsia="Times New Roman" w:cs="Times New Roman"/>
          <w:sz w:val="28"/>
          <w:szCs w:val="28"/>
        </w:rPr>
        <w:t xml:space="preserve">Петро Кравченко</w:t>
      </w:r>
      <w:r>
        <w:rPr>
          <w:rFonts w:ascii="Times New Roman" w:hAnsi="Times New Roman" w:cs="Times New Roman"/>
          <w:sz w:val="28"/>
          <w:szCs w:val="28"/>
        </w:rPr>
      </w:r>
      <w:r>
        <w:rPr>
          <w:rFonts w:ascii="Times New Roman" w:hAnsi="Times New Roman" w:cs="Times New Roman"/>
          <w:sz w:val="28"/>
          <w:szCs w:val="28"/>
        </w:rPr>
      </w:r>
    </w:p>
    <w:p w14:paraId="6FC4C0C2">
      <w:pPr>
        <w:pBdr/>
        <w:spacing/>
        <w:ind/>
        <w:jc w:val="right"/>
        <w:rPr>
          <w:rFonts w:ascii="Times New Roman" w:hAnsi="Times New Roman" w:cs="Times New Roman"/>
          <w:sz w:val="28"/>
          <w:szCs w:val="28"/>
        </w:rPr>
      </w:pPr>
      <w:r>
        <w:rPr>
          <w:rFonts w:ascii="Times New Roman" w:hAnsi="Times New Roman" w:eastAsia="Times New Roman" w:cs="Times New Roman"/>
          <w:b/>
          <w:bCs/>
          <w:sz w:val="28"/>
          <w:szCs w:val="28"/>
        </w:rPr>
        <w:t xml:space="preserve">                                                                      Перевірив:</w:t>
      </w:r>
      <w:r>
        <w:rPr>
          <w:rFonts w:ascii="Times New Roman" w:hAnsi="Times New Roman" w:eastAsia="Times New Roman" w:cs="Times New Roman"/>
          <w:sz w:val="28"/>
          <w:szCs w:val="28"/>
        </w:rPr>
        <w:t xml:space="preserve">  </w:t>
      </w:r>
      <w:r>
        <w:rPr>
          <w:rFonts w:ascii="Times New Roman" w:hAnsi="Times New Roman" w:cs="Times New Roman"/>
          <w:sz w:val="28"/>
          <w:szCs w:val="28"/>
        </w:rPr>
      </w:r>
      <w:r>
        <w:rPr>
          <w:rFonts w:ascii="Times New Roman" w:hAnsi="Times New Roman" w:cs="Times New Roman"/>
          <w:sz w:val="28"/>
          <w:szCs w:val="28"/>
        </w:rPr>
      </w:r>
    </w:p>
    <w:p w14:paraId="4BA42AA6">
      <w:pPr>
        <w:pBdr/>
        <w:spacing/>
        <w:ind/>
        <w:jc w:val="right"/>
        <w:rPr>
          <w:rFonts w:ascii="Times New Roman" w:hAnsi="Times New Roman" w:cs="Times New Roman"/>
          <w:sz w:val="28"/>
          <w:szCs w:val="28"/>
        </w:rPr>
      </w:pPr>
      <w:r>
        <w:rPr>
          <w:rFonts w:ascii="Times New Roman" w:hAnsi="Times New Roman" w:eastAsia="Times New Roman" w:cs="Times New Roman"/>
          <w:sz w:val="28"/>
          <w:szCs w:val="28"/>
        </w:rPr>
        <w:t xml:space="preserve">                                                                               </w:t>
      </w: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eastAsia="Times New Roman" w:cs="Times New Roman"/>
          <w:sz w:val="28"/>
          <w:szCs w:val="28"/>
        </w:rPr>
        <w:t xml:space="preserve">Зараховано від  </w:t>
      </w: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r>
        <w:rPr>
          <w:rFonts w:ascii="Times New Roman" w:hAnsi="Times New Roman" w:cs="Times New Roman"/>
          <w:sz w:val="28"/>
          <w:szCs w:val="28"/>
        </w:rPr>
      </w:r>
    </w:p>
    <w:p w14:paraId="7259EC8F">
      <w:pPr>
        <w:pBdr/>
        <w:spacing/>
        <w:ind/>
        <w:jc w:val="right"/>
        <w:rPr>
          <w:rFonts w:ascii="Times New Roman" w:hAnsi="Times New Roman" w:cs="Times New Roman"/>
          <w:sz w:val="28"/>
          <w:szCs w:val="28"/>
        </w:rPr>
      </w:pPr>
      <w:r>
        <w:rPr>
          <w:rFonts w:ascii="Times New Roman" w:hAnsi="Times New Roman" w:eastAsia="Times New Roman" w:cs="Times New Roman"/>
          <w:sz w:val="28"/>
          <w:szCs w:val="28"/>
          <w:lang w:val="uk-UA"/>
        </w:rPr>
        <w:t xml:space="preserve">Гладка Мирослава Вікторівна</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rPr>
        <w:t xml:space="preserve"> </w:t>
      </w:r>
      <w:r>
        <w:rPr>
          <w:rFonts w:ascii="Times New Roman" w:hAnsi="Times New Roman" w:cs="Times New Roman"/>
          <w:sz w:val="28"/>
          <w:szCs w:val="28"/>
        </w:rPr>
      </w:r>
      <w:r>
        <w:rPr>
          <w:rFonts w:ascii="Times New Roman" w:hAnsi="Times New Roman" w:cs="Times New Roman"/>
          <w:sz w:val="28"/>
          <w:szCs w:val="28"/>
        </w:rPr>
      </w:r>
    </w:p>
    <w:p w14:paraId="47783696">
      <w:pPr>
        <w:pBdr/>
        <w:spacing/>
        <w:ind/>
        <w:jc w:val="right"/>
        <w:rPr>
          <w:rFonts w:ascii="Times New Roman" w:hAnsi="Times New Roman" w:cs="Times New Roman"/>
          <w:sz w:val="28"/>
          <w:szCs w:val="28"/>
        </w:rPr>
      </w:pPr>
      <w:r>
        <w:rPr>
          <w:rFonts w:ascii="Times New Roman" w:hAnsi="Times New Roman" w:eastAsia="Times New Roman" w:cs="Times New Roman"/>
          <w:sz w:val="28"/>
          <w:szCs w:val="28"/>
        </w:rPr>
        <w:t xml:space="preserve">___________________________  </w:t>
      </w:r>
      <w:r>
        <w:rPr>
          <w:rFonts w:ascii="Times New Roman" w:hAnsi="Times New Roman" w:cs="Times New Roman"/>
          <w:sz w:val="28"/>
          <w:szCs w:val="28"/>
        </w:rPr>
      </w:r>
      <w:r>
        <w:rPr>
          <w:rFonts w:ascii="Times New Roman" w:hAnsi="Times New Roman" w:cs="Times New Roman"/>
          <w:sz w:val="28"/>
          <w:szCs w:val="28"/>
        </w:rPr>
      </w:r>
    </w:p>
    <w:p w14:paraId="6637E8A6">
      <w:pPr>
        <w:pBdr/>
        <w:spacing/>
        <w:ind/>
        <w:jc w:val="right"/>
        <w:rPr>
          <w:rFonts w:ascii="Times New Roman" w:hAnsi="Times New Roman" w:cs="Times New Roman"/>
          <w:sz w:val="28"/>
          <w:szCs w:val="28"/>
        </w:rPr>
      </w:pPr>
      <w:r>
        <w:rPr>
          <w:rFonts w:ascii="Times New Roman" w:hAnsi="Times New Roman" w:eastAsia="Times New Roman" w:cs="Times New Roman"/>
          <w:sz w:val="28"/>
          <w:szCs w:val="28"/>
        </w:rPr>
        <w:t xml:space="preserve">(підпис викладача)  </w:t>
      </w:r>
      <w:r>
        <w:rPr>
          <w:rFonts w:ascii="Times New Roman" w:hAnsi="Times New Roman" w:cs="Times New Roman"/>
          <w:sz w:val="28"/>
          <w:szCs w:val="28"/>
        </w:rPr>
      </w:r>
      <w:r>
        <w:rPr>
          <w:rFonts w:ascii="Times New Roman" w:hAnsi="Times New Roman" w:cs="Times New Roman"/>
          <w:sz w:val="28"/>
          <w:szCs w:val="28"/>
        </w:rPr>
      </w:r>
    </w:p>
    <w:p w14:paraId="16CAD3CA">
      <w:pPr>
        <w:pBdr/>
        <w:spacing/>
        <w:ind/>
        <w:jc w:val="left"/>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14:paraId="2286A18F">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rPr>
        <w:t>Київ-2026</w:t>
      </w:r>
      <w:r>
        <w:rPr>
          <w:rFonts w:ascii="Times New Roman" w:hAnsi="Times New Roman" w:cs="Times New Roman"/>
          <w:sz w:val="28"/>
          <w:szCs w:val="28"/>
          <w:highlight w:val="none"/>
        </w:rPr>
      </w:r>
      <w:r>
        <w:rPr>
          <w:rFonts w:ascii="Times New Roman" w:hAnsi="Times New Roman" w:cs="Times New Roman"/>
          <w:sz w:val="28"/>
          <w:szCs w:val="28"/>
          <w:highlight w:val="none"/>
        </w:rPr>
      </w:r>
    </w:p>
    <w:p>
      <w:pPr>
        <w:sectPr>
          <w:footerReference w:type="first" r:id="rId10"/>
          <w:footerReference w:type="default" r:id="rId11"/>
          <w:headerReference w:type="first" r:id="rId12"/>
          <w:headerReference w:type="default" r:id="rId13"/>
          <w:footnotePr/>
          <w:endnotePr/>
          <w:type w:val="nextPage"/>
          <w:pgSz w:h="16838" w:orient="portrait" w:w="11906"/>
          <w:pgMar w:top="1134" w:right="850" w:bottom="1134" w:left="1701" w:header="709" w:footer="709" w:gutter="0"/>
          <w:cols w:num="1" w:sep="0" w:space="708" w:equalWidth="1"/>
          <w:titlePg/>
        </w:sectPr>
      </w:pPr>
    </w:p>
    <w:p>
      <w:pPr>
        <w:keepNext w:val="0"/>
        <w:widowControl/>
        <w:spacing w:line="360" w:lineRule="auto" w:before="0" w:after="240"/>
        <w:ind w:firstLine="0" w:left="0"/>
        <w:jc w:val="center"/>
      </w:pPr>
      <w:r>
        <w:rPr>
          <w:rFonts w:ascii="Times New Roman" w:hAnsi="Times New Roman" w:cs="Times New Roman" w:eastAsia="Times New Roman"/>
          <w:b/>
          <w:i w:val="0"/>
          <w:color w:val="000000"/>
          <w:sz w:val="28"/>
        </w:rPr>
        <w:t>ЗМІСТ</w:t>
      </w:r>
    </w:p>
    <w:p>
      <w:pPr>
        <w:pStyle w:val="189"/>
        <w:keepNext w:val="0"/>
        <w:widowControl/>
        <w:tabs>
          <w:tab w:pos="9354" w:val="right" w:leader="dot"/>
        </w:tabs>
        <w:spacing w:line="360" w:lineRule="auto" w:before="0" w:after="0"/>
        <w:ind w:firstLine="0" w:left="0"/>
        <w:jc w:val="left"/>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\o "1-3" \h \z \u </w:instrText>
      </w:r>
      <w:r>
        <w:rPr>
          <w:rFonts w:ascii="Times New Roman" w:hAnsi="Times New Roman" w:cs="Times New Roman"/>
          <w:sz w:val="28"/>
          <w:szCs w:val="28"/>
        </w:rPr>
        <w:fldChar w:fldCharType="separate"/>
      </w:r>
      <w:hyperlink w:anchor="_Toc000001" w:history="1">
        <w:r>
          <w:rPr>
            <w:rFonts w:ascii="Times New Roman" w:hAnsi="Times New Roman" w:cs="Times New Roman"/>
            <w:sz w:val="28"/>
            <w:szCs w:val="28"/>
          </w:rPr>
          <w:t xml:space="preserve">МЕТА РОБОТИ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_Toc000001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w:t>
        </w:r>
        <w:r>
          <w:rPr>
            <w:rFonts w:ascii="Times New Roman" w:hAnsi="Times New Roman" w:cs="Times New Roman"/>
            <w:sz w:val="28"/>
            <w:szCs w:val="28"/>
          </w:rPr>
          <w:fldChar w:fldCharType="end"/>
        </w:r>
      </w:hyperlink>
    </w:p>
    <w:p>
      <w:pPr>
        <w:pStyle w:val="189"/>
        <w:keepNext w:val="0"/>
        <w:widowControl/>
        <w:tabs>
          <w:tab w:pos="9354" w:val="right" w:leader="dot"/>
        </w:tabs>
        <w:spacing w:line="360" w:lineRule="auto" w:before="0" w:after="0"/>
        <w:ind w:firstLine="0" w:left="0"/>
        <w:jc w:val="left"/>
      </w:pPr>
      <w:hyperlink w:anchor="_Toc000002" w:history="1">
        <w:r>
          <w:rPr>
            <w:rFonts w:ascii="Times New Roman" w:hAnsi="Times New Roman" w:cs="Times New Roman"/>
            <w:sz w:val="28"/>
            <w:szCs w:val="28"/>
          </w:rPr>
          <w:t xml:space="preserve">КОРОТКІ ТЕОРЕТИЧНІ ВІДОМОСТІ</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_Toc000002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w:t>
        </w:r>
        <w:r>
          <w:rPr>
            <w:rFonts w:ascii="Times New Roman" w:hAnsi="Times New Roman" w:cs="Times New Roman"/>
            <w:sz w:val="28"/>
            <w:szCs w:val="28"/>
          </w:rPr>
          <w:fldChar w:fldCharType="end"/>
        </w:r>
      </w:hyperlink>
    </w:p>
    <w:p>
      <w:pPr>
        <w:pStyle w:val="189"/>
        <w:keepNext w:val="0"/>
        <w:widowControl/>
        <w:tabs>
          <w:tab w:pos="9354" w:val="right" w:leader="dot"/>
        </w:tabs>
        <w:spacing w:line="360" w:lineRule="auto" w:before="0" w:after="0"/>
        <w:ind w:firstLine="0" w:left="0"/>
        <w:jc w:val="left"/>
      </w:pPr>
      <w:hyperlink w:anchor="_Toc000003" w:history="1">
        <w:r>
          <w:rPr>
            <w:rFonts w:ascii="Times New Roman" w:hAnsi="Times New Roman" w:cs="Times New Roman"/>
            <w:sz w:val="28"/>
            <w:szCs w:val="28"/>
          </w:rPr>
          <w:t xml:space="preserve">ХІД ВИКОНАННЯ РОБОТИ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_Toc000003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6</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4" w:history="1">
        <w:r>
          <w:rPr>
            <w:rFonts w:ascii="Times New Roman" w:hAnsi="Times New Roman" w:cs="Times New Roman"/>
            <w:sz w:val="28"/>
            <w:szCs w:val="28"/>
          </w:rPr>
          <w:t xml:space="preserve">1. Вибір об’єкту дослідження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_Toc000004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6</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5" w:history="1">
        <w:r>
          <w:rPr>
            <w:rFonts w:ascii="Times New Roman" w:hAnsi="Times New Roman" w:cs="Times New Roman"/>
            <w:sz w:val="28"/>
            <w:szCs w:val="28"/>
          </w:rPr>
          <w:t xml:space="preserve">2. Загальні відомості про підприємство</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_Toc000005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7</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6" w:history="1">
        <w:r>
          <w:rPr>
            <w:rFonts w:ascii="Times New Roman" w:hAnsi="Times New Roman" w:cs="Times New Roman"/>
            <w:sz w:val="28"/>
            <w:szCs w:val="28"/>
          </w:rPr>
          <w:t xml:space="preserve">3. Структурна схема підприємства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_Toc000006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8</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7" w:history="1">
        <w:r>
          <w:rPr>
            <w:rFonts w:ascii="Times New Roman" w:hAnsi="Times New Roman" w:cs="Times New Roman"/>
            <w:sz w:val="28"/>
            <w:szCs w:val="28"/>
          </w:rPr>
          <w:t xml:space="preserve">4. Роботи, що виконуються в досліджуваному підрозділі</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_Toc000007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10</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8" w:history="1">
        <w:r>
          <w:rPr>
            <w:rFonts w:ascii="Times New Roman" w:hAnsi="Times New Roman" w:cs="Times New Roman"/>
            <w:sz w:val="28"/>
            <w:szCs w:val="28"/>
          </w:rPr>
          <w:t xml:space="preserve">5. Функції та задачі підрозділів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_Toc000008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13</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9" w:history="1">
        <w:r>
          <w:rPr>
            <w:rFonts w:ascii="Times New Roman" w:hAnsi="Times New Roman" w:cs="Times New Roman"/>
            <w:sz w:val="28"/>
            <w:szCs w:val="28"/>
          </w:rPr>
          <w:t xml:space="preserve">6. Таблиця функціональних взаємозв’язків між підрозділами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_Toc000009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14</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0" w:history="1">
        <w:r>
          <w:rPr>
            <w:rFonts w:ascii="Times New Roman" w:hAnsi="Times New Roman" w:cs="Times New Roman"/>
            <w:sz w:val="28"/>
            <w:szCs w:val="28"/>
          </w:rPr>
          <w:t xml:space="preserve">7. Задачі, які потребують автоматизації</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_Toc000010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15</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1" w:history="1">
        <w:r>
          <w:rPr>
            <w:rFonts w:ascii="Times New Roman" w:hAnsi="Times New Roman" w:cs="Times New Roman"/>
            <w:sz w:val="28"/>
            <w:szCs w:val="28"/>
          </w:rPr>
          <w:t xml:space="preserve">8. Визначення вершин дерева цілей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_Toc000011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16</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2" w:history="1">
        <w:r>
          <w:rPr>
            <w:rFonts w:ascii="Times New Roman" w:hAnsi="Times New Roman" w:cs="Times New Roman"/>
            <w:sz w:val="28"/>
            <w:szCs w:val="28"/>
          </w:rPr>
          <w:t xml:space="preserve">9. Вибір підходу до розробки дерева цілей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_Toc000012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17</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3" w:history="1">
        <w:r>
          <w:rPr>
            <w:rFonts w:ascii="Times New Roman" w:hAnsi="Times New Roman" w:cs="Times New Roman"/>
            <w:sz w:val="28"/>
            <w:szCs w:val="28"/>
          </w:rPr>
          <w:t xml:space="preserve">10. Розробка дерева цілей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_Toc000013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18</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4" w:history="1">
        <w:r>
          <w:rPr>
            <w:rFonts w:ascii="Times New Roman" w:hAnsi="Times New Roman" w:cs="Times New Roman"/>
            <w:sz w:val="28"/>
            <w:szCs w:val="28"/>
          </w:rPr>
          <w:t xml:space="preserve">11. Робоча структура проєкту</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_Toc000014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21</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5" w:history="1">
        <w:r>
          <w:rPr>
            <w:rFonts w:ascii="Times New Roman" w:hAnsi="Times New Roman" w:cs="Times New Roman"/>
            <w:sz w:val="28"/>
            <w:szCs w:val="28"/>
          </w:rPr>
          <w:t xml:space="preserve">12. Основні етапи розробки WBS</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_Toc000015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22</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6" w:history="1">
        <w:r>
          <w:rPr>
            <w:rFonts w:ascii="Times New Roman" w:hAnsi="Times New Roman" w:cs="Times New Roman"/>
            <w:sz w:val="28"/>
            <w:szCs w:val="28"/>
          </w:rPr>
          <w:t xml:space="preserve">13. Аналіз характеристик проєкту</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_Toc000016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23</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7" w:history="1">
        <w:r>
          <w:rPr>
            <w:rFonts w:ascii="Times New Roman" w:hAnsi="Times New Roman" w:cs="Times New Roman"/>
            <w:sz w:val="28"/>
            <w:szCs w:val="28"/>
          </w:rPr>
          <w:t xml:space="preserve">14. Схематичне WBS-зображення проєкту</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_Toc000017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27</w:t>
        </w:r>
        <w:r>
          <w:rPr>
            <w:rFonts w:ascii="Times New Roman" w:hAnsi="Times New Roman" w:cs="Times New Roman"/>
            <w:sz w:val="28"/>
            <w:szCs w:val="28"/>
          </w:rPr>
          <w:fldChar w:fldCharType="end"/>
        </w:r>
      </w:hyperlink>
    </w:p>
    <w:p>
      <w:pPr>
        <w:pStyle w:val="189"/>
        <w:keepNext w:val="0"/>
        <w:widowControl/>
        <w:tabs>
          <w:tab w:pos="9354" w:val="right" w:leader="dot"/>
        </w:tabs>
        <w:spacing w:line="360" w:lineRule="auto" w:before="0" w:after="0"/>
        <w:ind w:firstLine="0" w:left="0"/>
        <w:jc w:val="left"/>
      </w:pPr>
      <w:hyperlink w:anchor="_Toc000018" w:history="1">
        <w:r>
          <w:rPr>
            <w:rFonts w:ascii="Times New Roman" w:hAnsi="Times New Roman" w:cs="Times New Roman"/>
            <w:sz w:val="28"/>
            <w:szCs w:val="28"/>
          </w:rPr>
          <w:t xml:space="preserve">ГРАФІЧНА ЧАСТИНА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_Toc000018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34</w:t>
        </w:r>
        <w:r>
          <w:rPr>
            <w:rFonts w:ascii="Times New Roman" w:hAnsi="Times New Roman" w:cs="Times New Roman"/>
            <w:sz w:val="28"/>
            <w:szCs w:val="28"/>
          </w:rPr>
          <w:fldChar w:fldCharType="end"/>
        </w:r>
      </w:hyperlink>
    </w:p>
    <w:p>
      <w:pPr>
        <w:pStyle w:val="189"/>
        <w:keepNext w:val="0"/>
        <w:widowControl/>
        <w:tabs>
          <w:tab w:pos="9354" w:val="right" w:leader="dot"/>
        </w:tabs>
        <w:spacing w:line="360" w:lineRule="auto" w:before="0" w:after="0"/>
        <w:ind w:firstLine="0" w:left="0"/>
        <w:jc w:val="left"/>
      </w:pPr>
      <w:hyperlink w:anchor="_Toc000019" w:history="1">
        <w:r>
          <w:rPr>
            <w:rFonts w:ascii="Times New Roman" w:hAnsi="Times New Roman" w:cs="Times New Roman"/>
            <w:sz w:val="28"/>
            <w:szCs w:val="28"/>
          </w:rPr>
          <w:t xml:space="preserve">ВИСНОВКИ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_Toc000019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36</w:t>
        </w:r>
        <w:r>
          <w:rPr>
            <w:rFonts w:ascii="Times New Roman" w:hAnsi="Times New Roman" w:cs="Times New Roman"/>
            <w:sz w:val="28"/>
            <w:szCs w:val="28"/>
          </w:rPr>
          <w:fldChar w:fldCharType="end"/>
        </w:r>
      </w:hyperlink>
    </w:p>
    <w:p>
      <w:pPr>
        <w:pStyle w:val="189"/>
        <w:keepNext w:val="0"/>
        <w:widowControl/>
        <w:tabs>
          <w:tab w:pos="9354" w:val="right" w:leader="dot"/>
        </w:tabs>
        <w:spacing w:line="360" w:lineRule="auto" w:before="0" w:after="0"/>
        <w:ind w:firstLine="0" w:left="0"/>
        <w:jc w:val="left"/>
      </w:pPr>
      <w:hyperlink w:anchor="_Toc000020" w:history="1">
        <w:r>
          <w:rPr>
            <w:rFonts w:ascii="Times New Roman" w:hAnsi="Times New Roman" w:cs="Times New Roman"/>
            <w:sz w:val="28"/>
            <w:szCs w:val="28"/>
          </w:rPr>
          <w:t xml:space="preserve">СПИСОК ВИКОРИСТАНИХ ДЖЕРЕЛ</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_Toc000020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37</w:t>
        </w:r>
        <w:r>
          <w:rPr>
            <w:rFonts w:ascii="Times New Roman" w:hAnsi="Times New Roman" w:cs="Times New Roman"/>
            <w:sz w:val="28"/>
            <w:szCs w:val="28"/>
          </w:rPr>
          <w:fldChar w:fldCharType="end"/>
        </w:r>
      </w:hyperlink>
      <w:r>
        <w:rPr>
          <w:rFonts w:ascii="Times New Roman" w:hAnsi="Times New Roman" w:cs="Times New Roman"/>
          <w:sz w:val="28"/>
          <w:szCs w:val="28"/>
        </w:rPr>
        <w:fldChar w:fldCharType="end"/>
      </w:r>
    </w:p>
    <w:p>
      <w:pPr>
        <w:pStyle w:val="139"/>
        <w:keepNext/>
        <w:pageBreakBefore/>
        <w:widowControl/>
        <w:spacing w:line="360" w:lineRule="auto" w:before="240" w:after="240"/>
        <w:ind w:firstLine="0" w:left="0"/>
        <w:jc w:val="center"/>
      </w:pPr>
      <w:bookmarkStart w:id="1" w:name="_Toc000001"/>
      <w:r>
        <w:rPr>
          <w:rFonts w:ascii="Times New Roman" w:hAnsi="Times New Roman" w:cs="Times New Roman" w:eastAsia="Times New Roman"/>
          <w:b/>
          <w:i w:val="0"/>
          <w:color w:val="000000"/>
          <w:sz w:val="28"/>
        </w:rPr>
        <w:t>МЕТА РОБОТИ</w:t>
      </w:r>
      <w:bookmarkEnd w:id="1"/>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Дослідити функції підприємства, описати роботи та взаємодії його підрозділів на прикладі умовного регіонального центру протидронової оборони; сформулювати задачі, які потребують автоматизації в межах теми «Проєктування розподіленої IoT-системи обміну телеметрією та координації дронів-перехоплювачів»; навчитися будувати дерево цілей автоматизованої системи та виконати структуризацію проєкту її створення відповідно до WBS-аналізу.</w:t>
      </w:r>
    </w:p>
    <w:p>
      <w:pPr>
        <w:pStyle w:val="139"/>
        <w:keepNext/>
        <w:pageBreakBefore w:val="0"/>
        <w:widowControl/>
        <w:spacing w:line="360" w:lineRule="auto" w:before="240" w:after="240"/>
        <w:ind w:firstLine="0" w:left="0"/>
        <w:jc w:val="center"/>
      </w:pPr>
      <w:bookmarkStart w:id="2" w:name="_Toc000002"/>
      <w:r>
        <w:rPr>
          <w:rFonts w:ascii="Times New Roman" w:hAnsi="Times New Roman" w:cs="Times New Roman" w:eastAsia="Times New Roman"/>
          <w:b/>
          <w:i w:val="0"/>
          <w:color w:val="000000"/>
          <w:sz w:val="28"/>
        </w:rPr>
        <w:t>КОРОТКІ ТЕОРЕТИЧНІ ВІДОМОСТІ</w:t>
      </w:r>
      <w:bookmarkEnd w:id="2"/>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Підприємство є самостійним суб’єктом господарювання, що систематично здійснює виробничу, науково-дослідну або іншу діяльність. Воно складається з виробничих і функціональних структурних підрозділів, функції, права та обов’язки яких визначаються положеннями про них. Структурна схема підприємства відображає основні підрозділи, їхнє призначення та підпорядкування: елементарні функціональні ланки зображують прямокутниками, а зв’язки підпорядкування — суцільними лініями зі стрілками. Для опису роботи підрозділу визначають виконувані роботи, ролі працівників і таблицю взаємодії, у якій показують інформаційні та матеріальні потоки, що надходять до підрозділу і виходять з нього.</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Дерево цілей — наочне графічне зображення підпорядкованості та взаємозв’язку цілей, яке демонструє розподіл генеральної мети (місії) на підцілі, завдання й окремі дії. Основна ідея його побудови — декомпозиція. Згідно з лекцією «Планування проєкту» до дерева цілей висувають такі вимоги: цілі кожного рівня мають бути порівнянні за масштабом і значенням; формулювання повинні допускати кількісну та якісну оцінку досягнення; має забезпечуватися повнота редукції, тобто сукупність підцілей повністю описує ціль вищого рівня; цілі описують бажані результати, а не способи їх отримання; підцілі одного рівня незалежні одна від одної; між рівнями відсутні суперечності; декомпозиція на всіх рівнях виконується за одним методологічним підходом, а завершується формулюванням заходів, що є альтернативними способами досягнення цілей.</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Для побудови дерева цілей застосовують два основні методи. Метод дезагрегації цілей використовують для формалізованих цілей, що характеризують реально існуючі або створювані об’єкти: генеральна ціль (система, код «0») поділяється на функціонально значущі підсистеми першого рівня, які не містять альтернатив, а другий і нижчі рівні містять основні та альтернативні елементи («і/або»-дерево). Метод забезпечення необхідних умов (В. М. Глушков) передбачає, що експерти формулюють умови, необхідні для досягнення мети, і на кожному наступному рівні конкретизують їх у термінах робіт.</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Ієрархічна структура робіт (WBS, Work Breakdown Structure) — ієрархічна структура, побудована для логічного розподілу всього обсягу робіт проєкту і подана в графічному вигляді. Кожен елемент WBS є частиною проєкту, до якої можна застосувати планування, управління і контроль; елементом найнижчого рівня є робочий пакет, що має обсяг робіт, відповідального виконавця, бюджет, потрібні ресурси та дати початку й завершення. Основні етапи розробки WBS: визначення ступеня деталізації робіт; визначення кількості рівнів (оптимально чотири); розробка структури кожного рівня; опис елементів; формування системи кодування; проведення зворотних обчислень (агрегування витрат знизу догори). Рівні формують за продуктами (субпроєктами), фазами проєкту, місцем виконання робіт або центрами затрат; під час розробки дотримуються правил результативності, агрегації, логічності, унікальності та гнучкості.</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Об’єкт дослідження цієї роботи — розподілена система класу інформаційно-управляючих. Відповідно до лекцій «Архітектура ІС» та «Інфраструктура інформаційно-управляючих систем» вона поєднує рівень сприйняття (сенсори та вбудоване програмне забезпечення), мережевий та периферійний рівень (шлюзи, брокери повідомлень), прикладний рівень (сервіси обробки даних) і рівень користувача (людино-машинний інтерфейс, мнемосхеми), а за способом управління належить до інтерактивних систем супервізорного управління, у яких оператор видає цілевказівки, а автоматика виконує відповідні програми.</w:t>
      </w:r>
    </w:p>
    <w:p>
      <w:pPr>
        <w:pStyle w:val="139"/>
        <w:keepNext/>
        <w:pageBreakBefore/>
        <w:widowControl/>
        <w:spacing w:line="360" w:lineRule="auto" w:before="240" w:after="240"/>
        <w:ind w:firstLine="0" w:left="0"/>
        <w:jc w:val="center"/>
      </w:pPr>
      <w:bookmarkStart w:id="3" w:name="_Toc000003"/>
      <w:r>
        <w:rPr>
          <w:rFonts w:ascii="Times New Roman" w:hAnsi="Times New Roman" w:cs="Times New Roman" w:eastAsia="Times New Roman"/>
          <w:b/>
          <w:i w:val="0"/>
          <w:color w:val="000000"/>
          <w:sz w:val="28"/>
        </w:rPr>
        <w:t>ХІД ВИКОНАННЯ РОБОТИ</w:t>
      </w:r>
      <w:bookmarkEnd w:id="3"/>
    </w:p>
    <w:p>
      <w:pPr>
        <w:pStyle w:val="140"/>
        <w:keepNext/>
        <w:pageBreakBefore w:val="0"/>
        <w:widowControl/>
        <w:spacing w:line="360" w:lineRule="auto" w:before="120" w:after="120"/>
        <w:ind w:firstLine="709" w:left="0"/>
        <w:jc w:val="left"/>
      </w:pPr>
      <w:bookmarkStart w:id="4" w:name="_Toc000004"/>
      <w:r>
        <w:rPr>
          <w:rFonts w:ascii="Times New Roman" w:hAnsi="Times New Roman" w:cs="Times New Roman" w:eastAsia="Times New Roman"/>
          <w:b/>
          <w:i w:val="0"/>
          <w:color w:val="000000"/>
          <w:sz w:val="28"/>
        </w:rPr>
        <w:t>1. Вибір об’єкту дослідження</w:t>
      </w:r>
      <w:bookmarkEnd w:id="4"/>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xml:space="preserve">Відповідно до теми «Проєктування розподіленої IoT-системи обміну телеметрією та координації дронів-перехоплювачів» об’єктом дослідження обрано діяльність регіонального центру протидронової оборони з виявлення, супроводу та перехоплення повітряних цілей — ударних і розвідувальних безпілотних літальних апаратів (БпЛА) — дронами-перехоплювачами. Предметом дослідження є процеси збору, передавання та злиття телеметрії, а також координації розрахунків перехоплювачів, що підлягають автоматизації. Інформаційна система, яка проєктується в межах циклу лабораторних робіт, отримала умовну назву </w:t>
      </w:r>
      <w:r>
        <w:rPr>
          <w:rFonts w:ascii="Times New Roman" w:hAnsi="Times New Roman" w:cs="Times New Roman" w:eastAsia="Times New Roman"/>
          <w:b/>
          <w:i w:val="0"/>
          <w:color w:val="000000"/>
          <w:sz w:val="28"/>
        </w:rPr>
        <w:t>IoT-платформа «Щит-Лінк»</w:t>
      </w:r>
      <w:r>
        <w:rPr>
          <w:rFonts w:ascii="Times New Roman" w:hAnsi="Times New Roman" w:cs="Times New Roman" w:eastAsia="Times New Roman"/>
          <w:b w:val="0"/>
          <w:i w:val="0"/>
          <w:color w:val="000000"/>
          <w:sz w:val="28"/>
        </w:rPr>
        <w:t>.</w:t>
      </w:r>
    </w:p>
    <w:p>
      <w:pPr>
        <w:keepNext w:val="0"/>
        <w:widowControl/>
        <w:spacing w:line="360" w:lineRule="auto" w:before="0" w:after="0"/>
        <w:ind w:firstLine="709" w:left="0"/>
        <w:jc w:val="both"/>
      </w:pPr>
      <w:r>
        <w:rPr>
          <w:rFonts w:ascii="Times New Roman" w:hAnsi="Times New Roman" w:cs="Times New Roman" w:eastAsia="Times New Roman"/>
          <w:b w:val="0"/>
          <w:i/>
          <w:color w:val="000000"/>
          <w:sz w:val="28"/>
        </w:rPr>
        <w:t>Примітка: РЦПДО «Щит-Північ» є навчальною умовною моделлю організації; усі назви, процеси та структури наведено суто з навчально-ілюстративною метою для проєктування інформаційної системи.</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Актуальність теми зумовлена масовим застосуванням ударних БпЛА, значна частина яких летить на гранично малих висотах, що ускладнює їх виявлення радіолокаційними засобами. Ефективне протистояння потребує поєднання розподіленої мережі акустичних, радіолокаційних та оптико-електронних сенсорів із мобільними розрахунками дронів-перехоплювачів, а отже — інформаційної системи, яка в реальному часі об’єднує дані від сотень пристроїв і скорочує час від виявлення цілі до її перехоплення.</w:t>
      </w:r>
    </w:p>
    <w:p>
      <w:pPr>
        <w:pStyle w:val="140"/>
        <w:keepNext/>
        <w:pageBreakBefore/>
        <w:widowControl/>
        <w:spacing w:line="360" w:lineRule="auto" w:before="120" w:after="120"/>
        <w:ind w:firstLine="709" w:left="0"/>
        <w:jc w:val="left"/>
      </w:pPr>
      <w:bookmarkStart w:id="5" w:name="_Toc000005"/>
      <w:r>
        <w:rPr>
          <w:rFonts w:ascii="Times New Roman" w:hAnsi="Times New Roman" w:cs="Times New Roman" w:eastAsia="Times New Roman"/>
          <w:b/>
          <w:i w:val="0"/>
          <w:color w:val="000000"/>
          <w:sz w:val="28"/>
        </w:rPr>
        <w:t>2. Загальні відомості про підприємство</w:t>
      </w:r>
      <w:bookmarkEnd w:id="5"/>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Основні відомості про умовний центр наведено в табл. 1.1. РЦПДО «Щит-Північ» забезпечує прикриття об’єктів критичної інфраструктури та населених пунктів у визначеній зоні відповідальності, працює цілодобово в змінному режимі та взаємодіє з Повітряними силами, суміжними центрами, ДСНС і військовими адміністраціями.</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1.1 — Загальні відомості про РЦПДО «Щит-Північ»</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rPr>
          <w:tblHeader w:val="true"/>
          <w:cantSplit w:val="true"/>
        </w:trPr>
        <w:tc>
          <w:tcPr>
            <w:tcW w:type="dxa" w:w="3341"/>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Характеристика</w:t>
            </w:r>
          </w:p>
        </w:tc>
        <w:tc>
          <w:tcPr>
            <w:tcW w:type="dxa" w:w="6013"/>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Значення</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Повна назва</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Регіональний центр протидронової оборони «Щит-Північ» (РЦПДО «Щит-Північ»)</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Статус</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Навчальна умовна модель організації</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Призначення</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Виявлення, супровід і перехоплення повітряних цілей (ударних і розвідувальних БпЛА) у зоні відповідальності</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Зона відповідальності</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 райони області, ≈ 9 000 км², 14 об’єктів критичної інфраструктури</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Режим роботи</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Цілодобово; 3 зміни по 8 год, у періоди масованих атак — 2 зміни по 12 год</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Чисельність персоналу</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 160 осіб</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Сенсорна мережа</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120 акустичних сенсорів, 4 малогабаритні РЛС, 12 оптико-електронних постів</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Сили перехоплення</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18 розрахунків дронів-перехоплювачів на 9 позиціях; запас 300–600 перехоплювачів</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Основні партнери</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Повітряні сили ЗСУ, суміжні центри, ДСНС, обласна військова адміністрація, постачальники перехоплювачів</w:t>
            </w:r>
          </w:p>
        </w:tc>
      </w:tr>
      <w:tr>
        <w:trPr>
          <w:cantSplit w:val="true"/>
        </w:trPr>
        <w:tc>
          <w:tcPr>
            <w:tcW w:type="dxa" w:w="334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Інформаційна система, що проєктується</w:t>
            </w:r>
          </w:p>
        </w:tc>
        <w:tc>
          <w:tcPr>
            <w:tcW w:type="dxa" w:w="6013"/>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IoT-платформа «Щит-Лінк»</w:t>
            </w:r>
          </w:p>
        </w:tc>
      </w:tr>
    </w:tbl>
    <w:p>
      <w:pPr>
        <w:pStyle w:val="140"/>
        <w:keepNext/>
        <w:pageBreakBefore/>
        <w:widowControl/>
        <w:spacing w:line="360" w:lineRule="auto" w:before="120" w:after="120"/>
        <w:ind w:firstLine="709" w:left="0"/>
        <w:jc w:val="left"/>
      </w:pPr>
      <w:bookmarkStart w:id="6" w:name="_Toc000006"/>
      <w:r>
        <w:rPr>
          <w:rFonts w:ascii="Times New Roman" w:hAnsi="Times New Roman" w:cs="Times New Roman" w:eastAsia="Times New Roman"/>
          <w:b/>
          <w:i w:val="0"/>
          <w:color w:val="000000"/>
          <w:sz w:val="28"/>
        </w:rPr>
        <w:t>3. Структурна схема підприємства</w:t>
      </w:r>
      <w:bookmarkEnd w:id="6"/>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xml:space="preserve">Організаційна структура центру лінійно-функціональна (рис. 1.1). Начальнику центру підпорядковані заступник з бойового управління, заступник з технічного забезпечення, відділ аналітики, планування та звітності, навчально-тренувальний відділ і сектор взаємодії. Заступнику з бойового управління підпорядковані командний пункт, відділ розвідки повітряного простору та сенсорних мереж і підрозділ дронів-перехоплювачів; заступнику з технічного забезпечення — служба зв’язку та ІТ, технічна служба і служба логістики. Досліджуваним підрозділом обрано </w:t>
      </w:r>
      <w:r>
        <w:rPr>
          <w:rFonts w:ascii="Times New Roman" w:hAnsi="Times New Roman" w:cs="Times New Roman" w:eastAsia="Times New Roman"/>
          <w:b/>
          <w:i w:val="0"/>
          <w:color w:val="000000"/>
          <w:sz w:val="28"/>
        </w:rPr>
        <w:t>командний пункт (КП)</w:t>
      </w:r>
      <w:r>
        <w:rPr>
          <w:rFonts w:ascii="Times New Roman" w:hAnsi="Times New Roman" w:cs="Times New Roman" w:eastAsia="Times New Roman"/>
          <w:b w:val="0"/>
          <w:i w:val="0"/>
          <w:color w:val="000000"/>
          <w:sz w:val="28"/>
        </w:rPr>
        <w:t xml:space="preserve"> — оперативний черговий центр, через який проходять усі інформаційні потоки бойового управління.</w:t>
      </w:r>
    </w:p>
    <w:p>
      <w:pPr>
        <w:keepNext/>
        <w:widowControl/>
        <w:spacing w:line="240" w:lineRule="auto" w:before="120" w:after="0"/>
        <w:ind w:firstLine="0" w:left="0"/>
        <w:jc w:val="center"/>
      </w:pPr>
      <w:r>
        <w:drawing>
          <wp:inline xmlns:pic="http://schemas.openxmlformats.org/drawingml/2006/picture">
            <wp:extent cx="5940000" cy="6005708"/>
            <wp:docPr id="1" name="Picture 1"/>
            <wp:cNvGraphicFramePr>
              <a:graphicFrameLocks noChangeAspect="1"/>
            </wp:cNvGraphicFramePr>
            <a:graphic>
              <a:graphicData uri="http://schemas.openxmlformats.org/drawingml/2006/picture">
                <pic:pic>
                  <pic:nvPicPr>
                    <pic:cNvPr id="0" name="01_org_structure.png"/>
                    <pic:cNvPicPr/>
                  </pic:nvPicPr>
                  <pic:blipFill>
                    <a:blip r:embed="rId14"/>
                    <a:stretch>
                      <a:fillRect/>
                    </a:stretch>
                  </pic:blipFill>
                  <pic:spPr>
                    <a:xfrm>
                      <a:off x="0" y="0"/>
                      <a:ext cx="5940000" cy="6005708"/>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1.1 — Структурна схема умовного РЦПДО «Щит-Північ»</w:t>
      </w:r>
    </w:p>
    <w:p>
      <w:pPr>
        <w:pStyle w:val="140"/>
        <w:keepNext/>
        <w:pageBreakBefore/>
        <w:widowControl/>
        <w:spacing w:line="360" w:lineRule="auto" w:before="120" w:after="120"/>
        <w:ind w:firstLine="709" w:left="0"/>
        <w:jc w:val="left"/>
      </w:pPr>
      <w:bookmarkStart w:id="7" w:name="_Toc000007"/>
      <w:r>
        <w:rPr>
          <w:rFonts w:ascii="Times New Roman" w:hAnsi="Times New Roman" w:cs="Times New Roman" w:eastAsia="Times New Roman"/>
          <w:b/>
          <w:i w:val="0"/>
          <w:color w:val="000000"/>
          <w:sz w:val="28"/>
        </w:rPr>
        <w:t>4. Роботи, що виконуються в досліджуваному підрозділі</w:t>
      </w:r>
      <w:bookmarkEnd w:id="7"/>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Командний пункт працює в режимі цілодобового бойового чергування. Послідовність робіт протягом зміни подано на рис. 1.2 у вигляді текстового алгоритму: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1) приймання зміни: оперативний черговий перевіряє стан сенсорної мережі, каналів зв’язку, готовність розрахунків і запаси перехоплювачів на позиціях, отримує розпорядження вищого командного пункту;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2) моніторинг повітряної обстановки: аналітик веде картину повітряного простору, оцінює покриття сенсорами та отримує попередження від суміжних центрів;</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3) отримання та верифікація виявлень: донесення акустичних вузлів, РЛС, оптико-електронних постів і спостерігачів зіставляються, дублікати об’єднуються в єдиний трек;</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4) класифікація цілі та оцінка загрози: визначаються тип і належність цілі, звіряються плани польотів дружньої авіації, розраховується пріоритет за часом підльоту до об’єктів прикриття; хибні цілі знімаються із супроводу;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5) призначення розрахунку та санкціонування пуску: офіцер бойового управління обирає розрахунок, оперативний черговий санкціонує пуск, завдання передається розрахунку;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6) супровід місії: КП передає розрахунку уточнені дані про ціль, контролює хід перехоплення і за потреби скасовує місію;</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7) оцінка результату та доповідь: фіксуються результат, докази і місце падіння уламків, доповідь надсилається вищому командному пункту, після чого КП повертається до моніторингу наступних цілей;</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8) облік витрати ресурсу та передача зміни: оформлюються журнал бойового чергування, витрата перехоплювачів і заявки на поповнення.</w:t>
      </w:r>
    </w:p>
    <w:p>
      <w:pPr>
        <w:keepNext/>
        <w:widowControl/>
        <w:spacing w:line="240" w:lineRule="auto" w:before="120" w:after="0"/>
        <w:ind w:firstLine="0" w:left="0"/>
        <w:jc w:val="center"/>
      </w:pPr>
      <w:r>
        <w:drawing>
          <wp:inline xmlns:pic="http://schemas.openxmlformats.org/drawingml/2006/picture">
            <wp:extent cx="5259600" cy="7732766"/>
            <wp:docPr id="2" name="Picture 2"/>
            <wp:cNvGraphicFramePr>
              <a:graphicFrameLocks noChangeAspect="1"/>
            </wp:cNvGraphicFramePr>
            <a:graphic>
              <a:graphicData uri="http://schemas.openxmlformats.org/drawingml/2006/picture">
                <pic:pic>
                  <pic:nvPicPr>
                    <pic:cNvPr id="0" name="02_kp_workflow.png"/>
                    <pic:cNvPicPr/>
                  </pic:nvPicPr>
                  <pic:blipFill>
                    <a:blip r:embed="rId15"/>
                    <a:stretch>
                      <a:fillRect/>
                    </a:stretch>
                  </pic:blipFill>
                  <pic:spPr>
                    <a:xfrm>
                      <a:off x="0" y="0"/>
                      <a:ext cx="5259600" cy="7732766"/>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1.2 — Послідовність робіт командного пункту протягом зміни</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Ролі персоналу КП та їхні посадові обов’язки наведено в табл. 1.2.</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1.2 — Посадові обов’язки персоналу командного пункту</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rPr>
          <w:tblHeader w:val="true"/>
          <w:cantSplit w:val="true"/>
        </w:trPr>
        <w:tc>
          <w:tcPr>
            <w:tcW w:type="dxa" w:w="2673"/>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Посада (роль)</w:t>
            </w:r>
          </w:p>
        </w:tc>
        <w:tc>
          <w:tcPr>
            <w:tcW w:type="dxa" w:w="6682"/>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Основні обов’язки</w:t>
            </w:r>
          </w:p>
        </w:tc>
      </w:tr>
      <w:tr>
        <w:trPr>
          <w:cantSplit w:val="true"/>
        </w:trPr>
        <w:tc>
          <w:tcPr>
            <w:tcW w:type="dxa" w:w="267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Оперативний черговий</w:t>
            </w:r>
          </w:p>
        </w:tc>
        <w:tc>
          <w:tcPr>
            <w:tcW w:type="dxa" w:w="6682"/>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керує зміною та веде журнал бойового чергування;</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підтверджує класифікацію цілей і санкціонує пуски;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оголошує режими готовності, доповідає вищому КП</w:t>
            </w:r>
          </w:p>
        </w:tc>
      </w:tr>
      <w:tr>
        <w:trPr>
          <w:cantSplit w:val="true"/>
        </w:trPr>
        <w:tc>
          <w:tcPr>
            <w:tcW w:type="dxa" w:w="267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Офіцер бойового управління</w:t>
            </w:r>
          </w:p>
        </w:tc>
        <w:tc>
          <w:tcPr>
            <w:tcW w:type="dxa" w:w="6682"/>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формує бойові завдання та обирає розрахунки;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контролює виконання місій, ініціює скасування</w:t>
            </w:r>
          </w:p>
        </w:tc>
      </w:tr>
      <w:tr>
        <w:trPr>
          <w:cantSplit w:val="true"/>
        </w:trPr>
        <w:tc>
          <w:tcPr>
            <w:tcW w:type="dxa" w:w="267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Аналітик повітряної обстановки</w:t>
            </w:r>
          </w:p>
        </w:tc>
        <w:tc>
          <w:tcPr>
            <w:tcW w:type="dxa" w:w="6682"/>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веде картину повітряного простору, об’єднує та розділяє треки;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позначає хибні цілі, класифікує цілі</w:t>
            </w:r>
          </w:p>
        </w:tc>
      </w:tr>
      <w:tr>
        <w:trPr>
          <w:cantSplit w:val="true"/>
        </w:trPr>
        <w:tc>
          <w:tcPr>
            <w:tcW w:type="dxa" w:w="2673"/>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Офіцер взаємодії (сектор взаємодії)</w:t>
            </w:r>
          </w:p>
        </w:tc>
        <w:tc>
          <w:tcPr>
            <w:tcW w:type="dxa" w:w="6682"/>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отримує плани польотів дружньої авіації;</w:t>
            </w:r>
          </w:p>
          <w:p>
            <w:pPr>
              <w:keepNext w:val="0"/>
              <w:widowControl/>
              <w:spacing w:line="240" w:lineRule="auto" w:before="0" w:after="0"/>
              <w:ind w:firstLine="0" w:left="0"/>
              <w:jc w:val="left"/>
            </w:pPr>
            <w:r>
              <w:rPr>
                <w:rFonts w:ascii="Times New Roman" w:hAnsi="Times New Roman" w:cs="Times New Roman" w:eastAsia="Times New Roman"/>
                <w:b w:val="0"/>
                <w:i w:val="0"/>
                <w:color w:val="000000"/>
                <w:sz w:val="24"/>
              </w:rPr>
              <w:t>обмінюється обстановкою з ПС ЗСУ і суміжними центрами</w:t>
            </w:r>
          </w:p>
        </w:tc>
      </w:tr>
    </w:tbl>
    <w:p>
      <w:pPr>
        <w:pStyle w:val="140"/>
        <w:keepNext/>
        <w:pageBreakBefore/>
        <w:widowControl/>
        <w:spacing w:line="360" w:lineRule="auto" w:before="120" w:after="120"/>
        <w:ind w:firstLine="709" w:left="0"/>
        <w:jc w:val="left"/>
      </w:pPr>
      <w:bookmarkStart w:id="8" w:name="_Toc000008"/>
      <w:r>
        <w:rPr>
          <w:rFonts w:ascii="Times New Roman" w:hAnsi="Times New Roman" w:cs="Times New Roman" w:eastAsia="Times New Roman"/>
          <w:b/>
          <w:i w:val="0"/>
          <w:color w:val="000000"/>
          <w:sz w:val="28"/>
        </w:rPr>
        <w:t>5. Функції та задачі підрозділів</w:t>
      </w:r>
      <w:bookmarkEnd w:id="8"/>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Задачі та функції підрозділів центру подано в табл. 1.3. Для командного пункту ключовими є функції ведення повітряної обстановки, призначення цілей і санкціонування пусків, для підрозділів забезпечення — підтримання готовності техніки, зв’язку та запасів.</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1.3 — Задачі та функції підрозділів РЦПДО «Щит-Північ»</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39"/>
        <w:gridCol w:w="2339"/>
        <w:gridCol w:w="2339"/>
        <w:gridCol w:w="2339"/>
      </w:tblGrid>
      <w:tr>
        <w:trPr>
          <w:tblHeader w:val="true"/>
          <w:cantSplit w:val="true"/>
        </w:trPr>
        <w:tc>
          <w:tcPr>
            <w:tcW w:type="dxa" w:w="46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w:t>
            </w:r>
          </w:p>
        </w:tc>
        <w:tc>
          <w:tcPr>
            <w:tcW w:type="dxa" w:w="2105"/>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Підрозділ</w:t>
            </w:r>
          </w:p>
        </w:tc>
        <w:tc>
          <w:tcPr>
            <w:tcW w:type="dxa" w:w="2456"/>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Задачі</w:t>
            </w:r>
          </w:p>
        </w:tc>
        <w:tc>
          <w:tcPr>
            <w:tcW w:type="dxa" w:w="4326"/>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Функції</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Командний пункт (оперативний черговий центр)</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Цілодобове бойове управління; формування повітряної обстановки; прийняття рішень на перехоплення</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Моніторинг треків; підтвердження класифікації; призначення цілей розрахункам; санкціонування пуску; координація з ПС ЗСУ; ведення журналу бойового чергування</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Відділ розвідки повітряного простору та сенсорних мереж</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Своєчасне виявлення повітряних цілей</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Експлуатація сенсорної мережі; верифікація виявлень; калібрування сенсорів; контроль покриття; передавання донесень</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Підрозділ дронів-перехоплювачів</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Перехоплення повітряних цілей</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Підтримання готовності; підготовка до пуску; пілотування і супровід; доповідь про результат; повернення або евакуація перехоплювача</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4</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Служба зв’язку та ІТ</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Безперервність зв’язку та роботи інформаційної системи</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Адміністрування платформи; резервування каналів; керування ключами і сертифікатами; моніторинг інцидентів кібербезпеки; оновлення ПЗ</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5</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Технічна служба</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Справність техніки</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Передпольотний і післяпольотний контроль; ремонт; облік ресурсу АКБ; списання техніки</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6</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Служба логістики</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Забезпеченість ресурсами</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Облік запасів; розподіл по позиціях; заявки на поповнення; транспортування</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7</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Відділ аналітики, планування та звітності</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Оцінка ефективності та планування</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Аналіз результатів; розрахунок показників ефективності; добові та місячні звіти; планування розміщення позицій</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8</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Навчально-тренувальний відділ</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Підготовка кадрів</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Курси операторів; тренування на симуляторі; атестація; допуск до чергування</w:t>
            </w:r>
          </w:p>
        </w:tc>
      </w:tr>
      <w:tr>
        <w:trPr>
          <w:cantSplit w:val="true"/>
        </w:trPr>
        <w:tc>
          <w:tcPr>
            <w:tcW w:type="dxa" w:w="46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9</w:t>
            </w:r>
          </w:p>
        </w:tc>
        <w:tc>
          <w:tcPr>
            <w:tcW w:type="dxa" w:w="2105"/>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Сектор взаємодії</w:t>
            </w:r>
          </w:p>
        </w:tc>
        <w:tc>
          <w:tcPr>
            <w:tcW w:type="dxa" w:w="245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Узгодженість дій із зовнішніми організаціями</w:t>
            </w:r>
          </w:p>
        </w:tc>
        <w:tc>
          <w:tcPr>
            <w:tcW w:type="dxa" w:w="432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Обмін обстановкою з ПС ЗСУ і суміжними центрами; погодження польотів дружньої авіації; інформування військових адміністрацій і ДСНС</w:t>
            </w:r>
          </w:p>
        </w:tc>
      </w:tr>
    </w:tbl>
    <w:p>
      <w:pPr>
        <w:pStyle w:val="140"/>
        <w:keepNext/>
        <w:pageBreakBefore/>
        <w:widowControl/>
        <w:spacing w:line="360" w:lineRule="auto" w:before="120" w:after="120"/>
        <w:ind w:firstLine="709" w:left="0"/>
        <w:jc w:val="left"/>
      </w:pPr>
      <w:bookmarkStart w:id="9" w:name="_Toc000009"/>
      <w:r>
        <w:rPr>
          <w:rFonts w:ascii="Times New Roman" w:hAnsi="Times New Roman" w:cs="Times New Roman" w:eastAsia="Times New Roman"/>
          <w:b/>
          <w:i w:val="0"/>
          <w:color w:val="000000"/>
          <w:sz w:val="28"/>
        </w:rPr>
        <w:t>6. Таблиця функціональних взаємозв’язків між підрозділами</w:t>
      </w:r>
      <w:bookmarkEnd w:id="9"/>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Взаємодію командного пункту з іншими підрозділами (інформаційні та документальні потоки, які КП одержує і надає) наведено в табл. 1.4.</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1.4 — Взаємодія командного пункту з іншими підрозділами</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39"/>
        <w:gridCol w:w="2339"/>
        <w:gridCol w:w="2339"/>
        <w:gridCol w:w="2339"/>
      </w:tblGrid>
      <w:tr>
        <w:trPr>
          <w:tblHeader w:val="true"/>
          <w:cantSplit w:val="true"/>
        </w:trPr>
        <w:tc>
          <w:tcPr>
            <w:tcW w:type="dxa" w:w="46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w:t>
            </w:r>
          </w:p>
        </w:tc>
        <w:tc>
          <w:tcPr>
            <w:tcW w:type="dxa" w:w="198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Підрозділ</w:t>
            </w:r>
          </w:p>
        </w:tc>
        <w:tc>
          <w:tcPr>
            <w:tcW w:type="dxa" w:w="350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Одержання</w:t>
            </w:r>
          </w:p>
        </w:tc>
        <w:tc>
          <w:tcPr>
            <w:tcW w:type="dxa" w:w="3391"/>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Надання</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Відділ розвідки повітряного простору</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виявлення та треки цілей;</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дані про стан і покриття сенсорів;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донесення спостерігачів;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відеопотоки оптико-електронних постів</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вимоги до зон спостереження;</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запити на доуточнення цілі;</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розпорядження щодо переміщення постів</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Підрозділ дронів-перехоплювачів</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доповіді про готовність;</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телеметрію перехоплювачів;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підтвердження прийняття завдань;</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доповіді про результат і витрату</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бойові завдання (призначення цілей);</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дозвіл або заборону пуску;</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команди на скасування;</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дані цілевказання</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Служба зв’язку та ІТ</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стан каналів і вузлів;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повідомлення про інциденти;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графік оновлень</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вимоги до пріоритету трафіку;</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заявки на відновлення зв’язку;</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переліки прав доступу персоналу</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4</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Технічна служба</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стан справності перехоплювачів, АКБ, сенсорів;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прогноз готовності техніки</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дані про відмови та втрати;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наліт і ресурс за місію;</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заявки на ремонт</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5</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Служба логістики</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залишки перехоплювачів і АКБ по позиціях;</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графік підвезення</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фактичну витрату;</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заявки на перерозподіл;</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прогноз потреби</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6</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Відділ аналітики, планування та звітності</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аналітичні звіти;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рекомендації щодо розміщення позицій;</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показники ефективності</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журнали бойового чергування;</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результати перехоплень;</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записи місій</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7</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Навчально-тренувальний відділ</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списки допущених операторів;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результати атестації</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типові помилки;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сценарії для тренувань;</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потреби в підготовці</w:t>
            </w:r>
          </w:p>
        </w:tc>
      </w:tr>
      <w:tr>
        <w:trPr>
          <w:cantSplit w:val="true"/>
        </w:trPr>
        <w:tc>
          <w:tcPr>
            <w:tcW w:type="dxa" w:w="46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8</w:t>
            </w:r>
          </w:p>
        </w:tc>
        <w:tc>
          <w:tcPr>
            <w:tcW w:type="dxa" w:w="198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Сектор взаємодії (ПС ЗСУ, суміжні центри)</w:t>
            </w:r>
          </w:p>
        </w:tc>
        <w:tc>
          <w:tcPr>
            <w:tcW w:type="dxa" w:w="350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плани польотів дружньої авіації;</w:t>
            </w:r>
          </w:p>
          <w:p>
            <w:pPr>
              <w:keepNext w:val="0"/>
              <w:widowControl/>
              <w:spacing w:line="240" w:lineRule="auto" w:before="0" w:after="0"/>
              <w:ind w:firstLine="0" w:left="0"/>
              <w:jc w:val="left"/>
            </w:pPr>
            <w:r>
              <w:rPr>
                <w:rFonts w:ascii="Times New Roman" w:hAnsi="Times New Roman" w:cs="Times New Roman" w:eastAsia="Times New Roman"/>
                <w:b w:val="0"/>
                <w:i w:val="0"/>
                <w:color w:val="000000"/>
                <w:sz w:val="24"/>
              </w:rPr>
              <w:t>загальну повітряну обстановку;</w:t>
            </w:r>
          </w:p>
          <w:p>
            <w:pPr>
              <w:keepNext w:val="0"/>
              <w:widowControl/>
              <w:spacing w:line="240" w:lineRule="auto" w:before="0" w:after="0"/>
              <w:ind w:firstLine="0" w:left="0"/>
              <w:jc w:val="left"/>
            </w:pPr>
            <w:r>
              <w:rPr>
                <w:rFonts w:ascii="Times New Roman" w:hAnsi="Times New Roman" w:cs="Times New Roman" w:eastAsia="Times New Roman"/>
                <w:b w:val="0"/>
                <w:i w:val="0"/>
                <w:color w:val="000000"/>
                <w:sz w:val="24"/>
              </w:rPr>
              <w:t>розпорядження вищого КП</w:t>
            </w:r>
          </w:p>
        </w:tc>
        <w:tc>
          <w:tcPr>
            <w:tcW w:type="dxa" w:w="339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донесення про обстановку та результати;</w:t>
            </w:r>
          </w:p>
          <w:p>
            <w:pPr>
              <w:keepNext w:val="0"/>
              <w:widowControl/>
              <w:spacing w:line="240" w:lineRule="auto" w:before="0" w:after="0"/>
              <w:ind w:firstLine="0" w:left="0"/>
              <w:jc w:val="left"/>
            </w:pPr>
            <w:r>
              <w:rPr>
                <w:rFonts w:ascii="Times New Roman" w:hAnsi="Times New Roman" w:cs="Times New Roman" w:eastAsia="Times New Roman"/>
                <w:b w:val="0"/>
                <w:i w:val="0"/>
                <w:color w:val="000000"/>
                <w:sz w:val="24"/>
              </w:rPr>
              <w:t>запити на погодження польотів</w:t>
            </w:r>
          </w:p>
        </w:tc>
      </w:tr>
    </w:tbl>
    <w:p>
      <w:pPr>
        <w:pStyle w:val="140"/>
        <w:keepNext/>
        <w:pageBreakBefore/>
        <w:widowControl/>
        <w:spacing w:line="360" w:lineRule="auto" w:before="120" w:after="120"/>
        <w:ind w:firstLine="709" w:left="0"/>
        <w:jc w:val="left"/>
      </w:pPr>
      <w:bookmarkStart w:id="10" w:name="_Toc000010"/>
      <w:r>
        <w:rPr>
          <w:rFonts w:ascii="Times New Roman" w:hAnsi="Times New Roman" w:cs="Times New Roman" w:eastAsia="Times New Roman"/>
          <w:b/>
          <w:i w:val="0"/>
          <w:color w:val="000000"/>
          <w:sz w:val="28"/>
        </w:rPr>
        <w:t>7. Задачі, які потребують автоматизації</w:t>
      </w:r>
      <w:bookmarkEnd w:id="10"/>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Аналіз робіт КП і таблиці взаємозв’язків показав, що основні втрати часу та помилки виникають через надходження даних різними каналами (радіо, месенджери, окремі застосунки), голосове цілевказання та паперовий облік. Задачі, які потребують автоматизації, наведено в табл. 1.5; саме вони визначають функціональний склад IoT-платформи «Щит-Лінк».</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1.5 — Задачі, які потребують автоматизації</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39"/>
        <w:gridCol w:w="2339"/>
        <w:gridCol w:w="2339"/>
        <w:gridCol w:w="2339"/>
      </w:tblGrid>
      <w:tr>
        <w:trPr>
          <w:tblHeader w:val="true"/>
          <w:cantSplit w:val="true"/>
        </w:trPr>
        <w:tc>
          <w:tcPr>
            <w:tcW w:type="dxa" w:w="46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w:t>
            </w:r>
          </w:p>
        </w:tc>
        <w:tc>
          <w:tcPr>
            <w:tcW w:type="dxa" w:w="2689"/>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Задача</w:t>
            </w:r>
          </w:p>
        </w:tc>
        <w:tc>
          <w:tcPr>
            <w:tcW w:type="dxa" w:w="3040"/>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Поточний стан (як є)</w:t>
            </w:r>
          </w:p>
        </w:tc>
        <w:tc>
          <w:tcPr>
            <w:tcW w:type="dxa" w:w="3157"/>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Очікуваний результат (як має бути)</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Збір і нормалізація телеметрії з різнотипних сенсорів і перехоплювачів</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Дані надходять різними каналами в різних форматах</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Єдиний потік даних у канонічному форматі</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Злиття виявлень у треки та прогноз траєкторій</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Ручне зіставлення донесень, дублікати цілей</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Автоматичні треки з прогнозом часу підльоту</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Підтримка класифікації та оцінки загрози</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Суб’єктивна оцінка, залежна від досвіду чергового</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Підказки класифікації та пріоритет загрози з підтвердженням людиною</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4</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Підбір розрахунку і доставка бойових завдань</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Голосове цілевказання по радіо (30–90 с)</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Цифрове завдання на планшеті розрахунку за ≤ 1 с</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5</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Моніторинг місії в реальному часі</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Доповіді голосом, немає спільної картини</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Спільне відображення цілі та перехоплювача</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6</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Облік готовності розрахунків, перехоплювачів, АКБ і запасів</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Паперові та табличні журнали</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Реєстр готовності, оновлюваний автоматично</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7</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Деконфлікція з дружньою авіацією та контроль зон заборони</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Узгодження телефоном, ризик помилки</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Автоматичне блокування призначень у заборонених зонах</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8</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Формування звітів про перехоплення та аналітика</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Звіти складаються вручну після зміни</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Автоматичний звіт ≤ 15 хв, панель показників ефективності</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9</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Оповіщення та ескалація подій</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Ручне оповіщення відповідальних осіб</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Автоматичні сповіщення з контролем підтвердження</w:t>
            </w:r>
          </w:p>
        </w:tc>
      </w:tr>
      <w:tr>
        <w:trPr>
          <w:cantSplit w:val="true"/>
        </w:trPr>
        <w:tc>
          <w:tcPr>
            <w:tcW w:type="dxa" w:w="46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10</w:t>
            </w:r>
          </w:p>
        </w:tc>
        <w:tc>
          <w:tcPr>
            <w:tcW w:type="dxa" w:w="2689"/>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Управління доступом, аудит і кіберзахист</w:t>
            </w:r>
          </w:p>
        </w:tc>
        <w:tc>
          <w:tcPr>
            <w:tcW w:type="dxa" w:w="3040"/>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Спільні облікові записи, відсутність аудиту</w:t>
            </w:r>
          </w:p>
        </w:tc>
        <w:tc>
          <w:tcPr>
            <w:tcW w:type="dxa" w:w="3157"/>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Рольовий доступ, багатофакторна автентифікація, незмінний журнал аудиту</w:t>
            </w:r>
          </w:p>
        </w:tc>
      </w:tr>
    </w:tbl>
    <w:p>
      <w:pPr>
        <w:pStyle w:val="140"/>
        <w:keepNext/>
        <w:pageBreakBefore/>
        <w:widowControl/>
        <w:spacing w:line="360" w:lineRule="auto" w:before="120" w:after="120"/>
        <w:ind w:firstLine="709" w:left="0"/>
        <w:jc w:val="left"/>
      </w:pPr>
      <w:bookmarkStart w:id="11" w:name="_Toc000011"/>
      <w:r>
        <w:rPr>
          <w:rFonts w:ascii="Times New Roman" w:hAnsi="Times New Roman" w:cs="Times New Roman" w:eastAsia="Times New Roman"/>
          <w:b/>
          <w:i w:val="0"/>
          <w:color w:val="000000"/>
          <w:sz w:val="28"/>
        </w:rPr>
        <w:t>8. Визначення вершин дерева цілей</w:t>
      </w:r>
      <w:bookmarkEnd w:id="11"/>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Вершиною (генеральною метою, код «0») дерева цілей визначено: «Забезпечення безпеки повітряного простору на території, яку покриває система» (система — IoT-платформа «Щит-Лінк»). Безпеку повітряного простору території розуміємо як стан, за якого всі повітряні цілі над нею своєчасно виявляються, загрози нейтралізуються, а дружня авіація й населення не зазнають шкоди. Тому перший рівень утворюють п’ять функціонально значущих цілей, сукупність яких повністю описує генеральну мету: обізнаність про обстановку, нейтралізація загроз, безпека дружньої авіації та населення, готовність сил і засобів, стійка робота самої системи (табл. 1.6). Для кожної цілі визначено показник, за яким оцінюється її досягнення.</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1.6 — Вершини дерева цілей та показники їх досягнення</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rPr>
          <w:tblHeader w:val="true"/>
          <w:cantSplit w:val="true"/>
        </w:trPr>
        <w:tc>
          <w:tcPr>
            <w:tcW w:type="dxa" w:w="850"/>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Код</w:t>
            </w:r>
          </w:p>
        </w:tc>
        <w:tc>
          <w:tcPr>
            <w:tcW w:type="dxa" w:w="4859"/>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Ціль</w:t>
            </w:r>
          </w:p>
        </w:tc>
        <w:tc>
          <w:tcPr>
            <w:tcW w:type="dxa" w:w="3645"/>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Показник досягнення</w:t>
            </w:r>
          </w:p>
        </w:tc>
      </w:tr>
      <w:tr>
        <w:trPr>
          <w:cantSplit w:val="true"/>
        </w:trPr>
        <w:tc>
          <w:tcPr>
            <w:tcW w:type="dxa" w:w="85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0</w:t>
            </w:r>
          </w:p>
        </w:tc>
        <w:tc>
          <w:tcPr>
            <w:tcW w:type="dxa" w:w="485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Забезпечення безпеки повітряного простору на території, яку покриває система</w:t>
            </w:r>
          </w:p>
        </w:tc>
        <w:tc>
          <w:tcPr>
            <w:tcW w:type="dxa" w:w="364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Частка нейтралізованих повітряних загроз серед виявлених над територією ≥ 90 %; відсутність уражень дружніх повітряних суден і цивільних об’єктів власними засобами</w:t>
            </w:r>
          </w:p>
        </w:tc>
      </w:tr>
      <w:tr>
        <w:trPr>
          <w:cantSplit w:val="true"/>
        </w:trPr>
        <w:tc>
          <w:tcPr>
            <w:tcW w:type="dxa" w:w="85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w:t>
            </w:r>
          </w:p>
        </w:tc>
        <w:tc>
          <w:tcPr>
            <w:tcW w:type="dxa" w:w="485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Повна та достовірна обізнаність про повітряну обстановку</w:t>
            </w:r>
          </w:p>
        </w:tc>
        <w:tc>
          <w:tcPr>
            <w:tcW w:type="dxa" w:w="364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Доступність сенсорів ≥ 97 %; частка хибних тривог ≤ 5 %</w:t>
            </w:r>
          </w:p>
        </w:tc>
      </w:tr>
      <w:tr>
        <w:trPr>
          <w:cantSplit w:val="true"/>
        </w:trPr>
        <w:tc>
          <w:tcPr>
            <w:tcW w:type="dxa" w:w="85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w:t>
            </w:r>
          </w:p>
        </w:tc>
        <w:tc>
          <w:tcPr>
            <w:tcW w:type="dxa" w:w="485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Своєчасна нейтралізація повітряних загроз</w:t>
            </w:r>
          </w:p>
        </w:tc>
        <w:tc>
          <w:tcPr>
            <w:tcW w:type="dxa" w:w="364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Час «підтвердження треку — призначення» ≤ 30 с; доставка завдання ≤ 1 с</w:t>
            </w:r>
          </w:p>
        </w:tc>
      </w:tr>
      <w:tr>
        <w:trPr>
          <w:cantSplit w:val="true"/>
        </w:trPr>
        <w:tc>
          <w:tcPr>
            <w:tcW w:type="dxa" w:w="85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w:t>
            </w:r>
          </w:p>
        </w:tc>
        <w:tc>
          <w:tcPr>
            <w:tcW w:type="dxa" w:w="485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Безпека дружньої авіації та населення</w:t>
            </w:r>
          </w:p>
        </w:tc>
        <w:tc>
          <w:tcPr>
            <w:tcW w:type="dxa" w:w="364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0 уражень дружніх суден; 100 % пусків із санкцією другої особи</w:t>
            </w:r>
          </w:p>
        </w:tc>
      </w:tr>
      <w:tr>
        <w:trPr>
          <w:cantSplit w:val="true"/>
        </w:trPr>
        <w:tc>
          <w:tcPr>
            <w:tcW w:type="dxa" w:w="85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4</w:t>
            </w:r>
          </w:p>
        </w:tc>
        <w:tc>
          <w:tcPr>
            <w:tcW w:type="dxa" w:w="485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Постійна готовність сил і засобів</w:t>
            </w:r>
          </w:p>
        </w:tc>
        <w:tc>
          <w:tcPr>
            <w:tcW w:type="dxa" w:w="364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Частка розрахунків у готовності ≥ 80 %; запас на позиціях ≥ 2 ночей</w:t>
            </w:r>
          </w:p>
        </w:tc>
      </w:tr>
      <w:tr>
        <w:trPr>
          <w:cantSplit w:val="true"/>
        </w:trPr>
        <w:tc>
          <w:tcPr>
            <w:tcW w:type="dxa" w:w="850"/>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5</w:t>
            </w:r>
          </w:p>
        </w:tc>
        <w:tc>
          <w:tcPr>
            <w:tcW w:type="dxa" w:w="4859"/>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Стійка та захищена робота системи</w:t>
            </w:r>
          </w:p>
        </w:tc>
        <w:tc>
          <w:tcPr>
            <w:tcW w:type="dxa" w:w="3645"/>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Доступність ядра 99,95 %; 100 % команд в аудиті; звіт ≤ 15 хв</w:t>
            </w:r>
          </w:p>
        </w:tc>
      </w:tr>
    </w:tbl>
    <w:p>
      <w:pPr>
        <w:pStyle w:val="140"/>
        <w:keepNext/>
        <w:pageBreakBefore/>
        <w:widowControl/>
        <w:spacing w:line="360" w:lineRule="auto" w:before="120" w:after="120"/>
        <w:ind w:firstLine="709" w:left="0"/>
        <w:jc w:val="left"/>
      </w:pPr>
      <w:bookmarkStart w:id="12" w:name="_Toc000012"/>
      <w:r>
        <w:rPr>
          <w:rFonts w:ascii="Times New Roman" w:hAnsi="Times New Roman" w:cs="Times New Roman" w:eastAsia="Times New Roman"/>
          <w:b/>
          <w:i w:val="0"/>
          <w:color w:val="000000"/>
          <w:sz w:val="28"/>
        </w:rPr>
        <w:t>9. Вибір підходу до розробки дерева цілей</w:t>
      </w:r>
      <w:bookmarkEnd w:id="12"/>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xml:space="preserve">Порівняння двох методів побудови дерева цілей наведено в табл. 1.7. Оскільки IoT-платформа «Щит-Лінк» є створюваним технічним об’єктом з формалізованими цілями, обрано </w:t>
      </w:r>
      <w:r>
        <w:rPr>
          <w:rFonts w:ascii="Times New Roman" w:hAnsi="Times New Roman" w:cs="Times New Roman" w:eastAsia="Times New Roman"/>
          <w:b/>
          <w:i w:val="0"/>
          <w:color w:val="000000"/>
          <w:sz w:val="28"/>
        </w:rPr>
        <w:t>метод дезагрегації цілей</w:t>
      </w:r>
      <w:r>
        <w:rPr>
          <w:rFonts w:ascii="Times New Roman" w:hAnsi="Times New Roman" w:cs="Times New Roman" w:eastAsia="Times New Roman"/>
          <w:b w:val="0"/>
          <w:i w:val="0"/>
          <w:color w:val="000000"/>
          <w:sz w:val="28"/>
        </w:rPr>
        <w:t>: перший рівень відповідає функціонально значущим підсистемам і не містить альтернатив, другий рівень конкретизує цілі вимірюваними показниками, а третій містить основні та альтернативні заходи («і/або»-дерево). Декомпозицію на всіх рівнях виконано за одним підходом — за функціональним призначенням.</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1.7 — Порівняння методів побудови дерева цілей</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rPr>
          <w:tblHeader w:val="true"/>
          <w:cantSplit w:val="true"/>
        </w:trPr>
        <w:tc>
          <w:tcPr>
            <w:tcW w:type="dxa" w:w="2339"/>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Критерій</w:t>
            </w:r>
          </w:p>
        </w:tc>
        <w:tc>
          <w:tcPr>
            <w:tcW w:type="dxa" w:w="350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Метод дезагрегації</w:t>
            </w:r>
          </w:p>
        </w:tc>
        <w:tc>
          <w:tcPr>
            <w:tcW w:type="dxa" w:w="350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Метод забезпечення необхідних умов</w:t>
            </w:r>
          </w:p>
        </w:tc>
      </w:tr>
      <w:tr>
        <w:trPr>
          <w:cantSplit w:val="true"/>
        </w:trPr>
        <w:tc>
          <w:tcPr>
            <w:tcW w:type="dxa" w:w="23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Тип цілей</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Формалізовані, що характеризують створюваний об’єкт</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Будь-які, зокрема неформалізовані</w:t>
            </w:r>
          </w:p>
        </w:tc>
      </w:tr>
      <w:tr>
        <w:trPr>
          <w:cantSplit w:val="true"/>
        </w:trPr>
        <w:tc>
          <w:tcPr>
            <w:tcW w:type="dxa" w:w="23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Основа декомпозиції</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Системне уявлення: система — підсистеми — елементи</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Умови, необхідні для досягнення мети, визначені експертами</w:t>
            </w:r>
          </w:p>
        </w:tc>
      </w:tr>
      <w:tr>
        <w:trPr>
          <w:cantSplit w:val="true"/>
        </w:trPr>
        <w:tc>
          <w:tcPr>
            <w:tcW w:type="dxa" w:w="23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Альтернативи</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 другого рівня («і/або»-дерево)</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Не обов’язкові</w:t>
            </w:r>
          </w:p>
        </w:tc>
      </w:tr>
      <w:tr>
        <w:trPr>
          <w:cantSplit w:val="true"/>
        </w:trPr>
        <w:tc>
          <w:tcPr>
            <w:tcW w:type="dxa" w:w="23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Потреба в експертах</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Помірна</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Висока (незалежна експертиза)</w:t>
            </w:r>
          </w:p>
        </w:tc>
      </w:tr>
      <w:tr>
        <w:trPr>
          <w:cantSplit w:val="true"/>
        </w:trPr>
        <w:tc>
          <w:tcPr>
            <w:tcW w:type="dxa" w:w="2339"/>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Придатність для ІС «Щит-Лінк»</w:t>
            </w:r>
          </w:p>
        </w:tc>
        <w:tc>
          <w:tcPr>
            <w:tcW w:type="dxa" w:w="350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Висока: цілі пов’язані з підсистемами ІС</w:t>
            </w:r>
          </w:p>
        </w:tc>
        <w:tc>
          <w:tcPr>
            <w:tcW w:type="dxa" w:w="350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Середня</w:t>
            </w:r>
          </w:p>
        </w:tc>
      </w:tr>
    </w:tbl>
    <w:p>
      <w:pPr>
        <w:pStyle w:val="140"/>
        <w:keepNext/>
        <w:pageBreakBefore/>
        <w:widowControl/>
        <w:spacing w:line="360" w:lineRule="auto" w:before="120" w:after="120"/>
        <w:ind w:firstLine="709" w:left="0"/>
        <w:jc w:val="left"/>
      </w:pPr>
      <w:bookmarkStart w:id="13" w:name="_Toc000013"/>
      <w:r>
        <w:rPr>
          <w:rFonts w:ascii="Times New Roman" w:hAnsi="Times New Roman" w:cs="Times New Roman" w:eastAsia="Times New Roman"/>
          <w:b/>
          <w:i w:val="0"/>
          <w:color w:val="000000"/>
          <w:sz w:val="28"/>
        </w:rPr>
        <w:t>10. Розробка дерева цілей</w:t>
      </w:r>
      <w:bookmarkEnd w:id="13"/>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Дерево цілей подано на одній схемі (рис. 1.3): генеральна мета розміщена вгорі, а гілки розгортаються зліва направо — цілі першого рівня, вимірювані цілі другого рівня і заходи третього рівня. Суцільна рамка заходу означає обов’язковий елемент (зв’язок «і»), пунктирна — альтернативний варіант (зв’язок «або»), з яких на етапі проєктування обирається один.</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Гілка 1 «Повна та достовірна обізнаність про повітряну обстановку» забезпечує інформаційну основу: без суцільного покриття, єдиного формату даних і достовірних треків неможливі подальші рішення. Гілка 2 «Своєчасна нейтралізація повітряних загроз» скорочує час реакції; альтернативи 2.1.1а і 2.1.1б задають два рівні автоматизації вибору розрахунку, причому в обох остаточне рішення залишається за людиною. Гілка 3 «Безпека дружньої авіації та населення» обмежує застосування сил: звірка з планами польотів, зони заборони ураження і правило двох осіб. Гілка 4 «Постійна готовність сил і засобів» охоплює облік розрахунків, перехоплювачів, АКБ і запасів. Гілка 5 «Стійка та захищена робота системи» забезпечує кіберзахист, доступність (альтернативи 5.2.1а і 5.2.1б — варіанти резервування ядра) і контур вдосконалення за результатами аналізу.</w:t>
      </w:r>
    </w:p>
    <w:p>
      <w:pPr>
        <w:keepNext/>
        <w:widowControl/>
        <w:spacing w:line="240" w:lineRule="auto" w:before="120" w:after="0"/>
        <w:ind w:firstLine="0" w:left="0"/>
        <w:jc w:val="center"/>
      </w:pPr>
      <w:r>
        <w:drawing>
          <wp:inline xmlns:pic="http://schemas.openxmlformats.org/drawingml/2006/picture">
            <wp:extent cx="5940000" cy="7553757"/>
            <wp:docPr id="3" name="Picture 3"/>
            <wp:cNvGraphicFramePr>
              <a:graphicFrameLocks noChangeAspect="1"/>
            </wp:cNvGraphicFramePr>
            <a:graphic>
              <a:graphicData uri="http://schemas.openxmlformats.org/drawingml/2006/picture">
                <pic:pic>
                  <pic:nvPicPr>
                    <pic:cNvPr id="0" name="03_goal_tree.png"/>
                    <pic:cNvPicPr/>
                  </pic:nvPicPr>
                  <pic:blipFill>
                    <a:blip r:embed="rId16"/>
                    <a:stretch>
                      <a:fillRect/>
                    </a:stretch>
                  </pic:blipFill>
                  <pic:spPr>
                    <a:xfrm>
                      <a:off x="0" y="0"/>
                      <a:ext cx="5940000" cy="7553757"/>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1.3 — Дерево цілей IoT-платформи «Щит-Лінк»</w:t>
      </w:r>
    </w:p>
    <w:p>
      <w:pPr>
        <w:keepNext w:val="0"/>
        <w:widowControl/>
        <w:spacing w:line="240" w:lineRule="auto" w:before="0" w:after="120"/>
        <w:ind w:firstLine="0" w:left="0"/>
        <w:jc w:val="left"/>
      </w:pPr>
      <w:r>
        <w:rPr>
          <w:rFonts w:ascii="Times New Roman" w:hAnsi="Times New Roman" w:cs="Times New Roman" w:eastAsia="Times New Roman"/>
          <w:b w:val="0"/>
          <w:i/>
          <w:color w:val="000000"/>
          <w:sz w:val="24"/>
        </w:rPr>
        <w:t>Суцільна рамка — обов’язковий захід («і»); пунктирна рамка — альтернативний варіант («або»).</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Отримане дерево має чотири рівні (0–3): одну генеральну мету, 5 цілей першого рівня, 15 цілей другого рівня та 30 заходів третього рівня. Вимоги до дерева цілей виконано: цілі кожного рівня порівнянні за масштабом, на другому рівні мають вимірювані показники, підцілі незалежні та разом повністю описують батьківську ціль, а нижній рівень складається із заходів досягнення цілей.</w:t>
      </w:r>
    </w:p>
    <w:p>
      <w:pPr>
        <w:pStyle w:val="140"/>
        <w:keepNext/>
        <w:pageBreakBefore/>
        <w:widowControl/>
        <w:spacing w:line="360" w:lineRule="auto" w:before="120" w:after="120"/>
        <w:ind w:firstLine="709" w:left="0"/>
        <w:jc w:val="left"/>
      </w:pPr>
      <w:bookmarkStart w:id="14" w:name="_Toc000014"/>
      <w:r>
        <w:rPr>
          <w:rFonts w:ascii="Times New Roman" w:hAnsi="Times New Roman" w:cs="Times New Roman" w:eastAsia="Times New Roman"/>
          <w:b/>
          <w:i w:val="0"/>
          <w:color w:val="000000"/>
          <w:sz w:val="28"/>
        </w:rPr>
        <w:t>11. Робоча структура проєкту</w:t>
      </w:r>
      <w:bookmarkEnd w:id="14"/>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xml:space="preserve">Об’єктом WBS-аналізу є проєкт «Створення IoT-платформи „Щит-Лінк“». Проєкт триває з 02.11.2026 до 29.10.2027 (12 місяців) і охоплює стадії створення автоматизованої системи за ГОСТ 34.601-90: формування вимог і технічне завдання, проєктування, розроблення підсистем, введення в дію. Робочу структуру проєкту побудовано за </w:t>
      </w:r>
      <w:r>
        <w:rPr>
          <w:rFonts w:ascii="Times New Roman" w:hAnsi="Times New Roman" w:cs="Times New Roman" w:eastAsia="Times New Roman"/>
          <w:b/>
          <w:i w:val="0"/>
          <w:color w:val="000000"/>
          <w:sz w:val="28"/>
        </w:rPr>
        <w:t>продуктовим принципом</w:t>
      </w:r>
      <w:r>
        <w:rPr>
          <w:rFonts w:ascii="Times New Roman" w:hAnsi="Times New Roman" w:cs="Times New Roman" w:eastAsia="Times New Roman"/>
          <w:b w:val="0"/>
          <w:i w:val="0"/>
          <w:color w:val="000000"/>
          <w:sz w:val="28"/>
        </w:rPr>
        <w:t>: другий рівень утворюють субпроєкти, що відповідають підсистемам платформи, а також інтегровані роботи, спільні для всіх підсистем, — управління проєктом, обстеження, інфраструктура та впровадження. Структура має чотири рівні: 1 — проєкт; 2 — субпроєкти (8); 3 — блоки робіт (20); 4 — робочі пакети (42).</w:t>
      </w:r>
    </w:p>
    <w:p>
      <w:pPr>
        <w:pStyle w:val="140"/>
        <w:keepNext/>
        <w:pageBreakBefore/>
        <w:widowControl/>
        <w:spacing w:line="360" w:lineRule="auto" w:before="120" w:after="120"/>
        <w:ind w:firstLine="709" w:left="0"/>
        <w:jc w:val="left"/>
      </w:pPr>
      <w:bookmarkStart w:id="15" w:name="_Toc000015"/>
      <w:r>
        <w:rPr>
          <w:rFonts w:ascii="Times New Roman" w:hAnsi="Times New Roman" w:cs="Times New Roman" w:eastAsia="Times New Roman"/>
          <w:b/>
          <w:i w:val="0"/>
          <w:color w:val="000000"/>
          <w:sz w:val="28"/>
        </w:rPr>
        <w:t>12. Основні етапи розробки WBS</w:t>
      </w:r>
      <w:bookmarkEnd w:id="15"/>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Застосування шести етапів розробки WBS до проєкту наведено в табл. 1.8.</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1.8 — Етапи розробки WBS проєкту створення «Щит-Лінк»</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rPr>
          <w:tblHeader w:val="true"/>
          <w:cantSplit w:val="true"/>
        </w:trPr>
        <w:tc>
          <w:tcPr>
            <w:tcW w:type="dxa" w:w="2046"/>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Етап</w:t>
            </w:r>
          </w:p>
        </w:tc>
        <w:tc>
          <w:tcPr>
            <w:tcW w:type="dxa" w:w="350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Зміст</w:t>
            </w:r>
          </w:p>
        </w:tc>
        <w:tc>
          <w:tcPr>
            <w:tcW w:type="dxa" w:w="3800"/>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Результат для проєкту</w:t>
            </w:r>
          </w:p>
        </w:tc>
      </w:tr>
      <w:tr>
        <w:trPr>
          <w:cantSplit w:val="true"/>
        </w:trPr>
        <w:tc>
          <w:tcPr>
            <w:tcW w:type="dxa" w:w="204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 Визначення ступеня деталізації</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Роботи деталізуються до рівня, який можна оцінити за тривалістю і вартістю та доручити одному виконавцю</w:t>
            </w:r>
          </w:p>
        </w:tc>
        <w:tc>
          <w:tcPr>
            <w:tcW w:type="dxa" w:w="380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Робочий пакет тривалістю 10–60 робочих днів (моніторинг проєкту — до 240 днів)</w:t>
            </w:r>
          </w:p>
        </w:tc>
      </w:tr>
      <w:tr>
        <w:trPr>
          <w:cantSplit w:val="true"/>
        </w:trPr>
        <w:tc>
          <w:tcPr>
            <w:tcW w:type="dxa" w:w="204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 Визначення кількості рівнів</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Обирається кількість рівнів, достатня для управління</w:t>
            </w:r>
          </w:p>
        </w:tc>
        <w:tc>
          <w:tcPr>
            <w:tcW w:type="dxa" w:w="380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Чотири рівні: проєкт — субпроєкт — блок — робочий пакет</w:t>
            </w:r>
          </w:p>
        </w:tc>
      </w:tr>
      <w:tr>
        <w:trPr>
          <w:cantSplit w:val="true"/>
        </w:trPr>
        <w:tc>
          <w:tcPr>
            <w:tcW w:type="dxa" w:w="204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 Розробка структури рівнів</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Формуються горизонтальні рівні за обраним принципом</w:t>
            </w:r>
          </w:p>
        </w:tc>
        <w:tc>
          <w:tcPr>
            <w:tcW w:type="dxa" w:w="380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8 субпроєктів за продуктовим принципом, 20 блоків, 42 робочих пакетів</w:t>
            </w:r>
          </w:p>
        </w:tc>
      </w:tr>
      <w:tr>
        <w:trPr>
          <w:cantSplit w:val="true"/>
        </w:trPr>
        <w:tc>
          <w:tcPr>
            <w:tcW w:type="dxa" w:w="204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4 Опис елементів WBS</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Кожному елементу дається стисла назва, визначаються відповідальні</w:t>
            </w:r>
          </w:p>
        </w:tc>
        <w:tc>
          <w:tcPr>
            <w:tcW w:type="dxa" w:w="380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Таблиці характеристик робочих пакетів (табл. 1.10)</w:t>
            </w:r>
          </w:p>
        </w:tc>
      </w:tr>
      <w:tr>
        <w:trPr>
          <w:cantSplit w:val="true"/>
        </w:trPr>
        <w:tc>
          <w:tcPr>
            <w:tcW w:type="dxa" w:w="204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5 Формування системи кодування</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Кодуються всі елементи структури</w:t>
            </w:r>
          </w:p>
        </w:tc>
        <w:tc>
          <w:tcPr>
            <w:tcW w:type="dxa" w:w="380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Ієрархічні коди 1 / 1.1 / 1.1.1 / 1.1.1.1</w:t>
            </w:r>
          </w:p>
        </w:tc>
      </w:tr>
      <w:tr>
        <w:trPr>
          <w:cantSplit w:val="true"/>
        </w:trPr>
        <w:tc>
          <w:tcPr>
            <w:tcW w:type="dxa" w:w="204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6 Зворотні обчислення</w:t>
            </w:r>
          </w:p>
        </w:tc>
        <w:tc>
          <w:tcPr>
            <w:tcW w:type="dxa" w:w="350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Витрати агрегуються знизу догори</w:t>
            </w:r>
          </w:p>
        </w:tc>
        <w:tc>
          <w:tcPr>
            <w:tcW w:type="dxa" w:w="3800"/>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Бюджет субпроєктів і проєкту 29 330 тис. грн (табл. 1.11)</w:t>
            </w:r>
          </w:p>
        </w:tc>
      </w:tr>
    </w:tbl>
    <w:p>
      <w:pPr>
        <w:pStyle w:val="140"/>
        <w:keepNext/>
        <w:pageBreakBefore/>
        <w:widowControl/>
        <w:spacing w:line="360" w:lineRule="auto" w:before="120" w:after="120"/>
        <w:ind w:firstLine="709" w:left="0"/>
        <w:jc w:val="left"/>
      </w:pPr>
      <w:bookmarkStart w:id="16" w:name="_Toc000016"/>
      <w:r>
        <w:rPr>
          <w:rFonts w:ascii="Times New Roman" w:hAnsi="Times New Roman" w:cs="Times New Roman" w:eastAsia="Times New Roman"/>
          <w:b/>
          <w:i w:val="0"/>
          <w:color w:val="000000"/>
          <w:sz w:val="28"/>
        </w:rPr>
        <w:t>13. Аналіз характеристик проєкту</w:t>
      </w:r>
      <w:bookmarkEnd w:id="16"/>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Основні характеристики проєкту, аналогічні характеристикам робочого пакета, подано в табл. 1.9, характеристики робочих пакетів — у табл. 1.10, а результати зворотних обчислень бюджету за субпроєктами — у табл. 1.11.</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1.9 — Основні характеристики проєкту</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rPr>
          <w:tblHeader w:val="true"/>
          <w:cantSplit w:val="true"/>
        </w:trPr>
        <w:tc>
          <w:tcPr>
            <w:tcW w:type="dxa" w:w="2716"/>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Характеристика</w:t>
            </w:r>
          </w:p>
        </w:tc>
        <w:tc>
          <w:tcPr>
            <w:tcW w:type="dxa" w:w="6639"/>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Опис</w:t>
            </w:r>
          </w:p>
        </w:tc>
      </w:tr>
      <w:tr>
        <w:trPr>
          <w:cantSplit w:val="true"/>
        </w:trPr>
        <w:tc>
          <w:tcPr>
            <w:tcW w:type="dxa" w:w="27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Обсяг і перелік робіт</w:t>
            </w:r>
          </w:p>
        </w:tc>
        <w:tc>
          <w:tcPr>
            <w:tcW w:type="dxa" w:w="66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1.1 Управління проєктом;</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1.2 Обстеження та формування вимог;</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1.3 Підсистема збору телеметрії;</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1.4 Підсистема ситуаційної обізнаності;</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1.5 Підсистема координації перехоплення;</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1.6 Підсистема ресурсів, аналітики та звітності;</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1.7 Інфраструктура та кібербезпека;</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1.8 Впровадження.</w:t>
            </w:r>
          </w:p>
        </w:tc>
      </w:tr>
      <w:tr>
        <w:trPr>
          <w:cantSplit w:val="true"/>
        </w:trPr>
        <w:tc>
          <w:tcPr>
            <w:tcW w:type="dxa" w:w="27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Відповідальний за виконання</w:t>
            </w:r>
          </w:p>
        </w:tc>
        <w:tc>
          <w:tcPr>
            <w:tcW w:type="dxa" w:w="66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Керівник проєкту; відповідальні за субпроєкти визначені в табл. 1.11; замовник — начальник умовного РЦПДО «Щит-Північ»</w:t>
            </w:r>
          </w:p>
        </w:tc>
      </w:tr>
      <w:tr>
        <w:trPr>
          <w:cantSplit w:val="true"/>
        </w:trPr>
        <w:tc>
          <w:tcPr>
            <w:tcW w:type="dxa" w:w="27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Бюджет</w:t>
            </w:r>
          </w:p>
        </w:tc>
        <w:tc>
          <w:tcPr>
            <w:tcW w:type="dxa" w:w="66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29 330 тис. грн (умовна оцінка), у тому числі обладнання периферійних шлюзів і ЦОД 5 400 тис. грн</w:t>
            </w:r>
          </w:p>
        </w:tc>
      </w:tr>
      <w:tr>
        <w:trPr>
          <w:cantSplit w:val="true"/>
        </w:trPr>
        <w:tc>
          <w:tcPr>
            <w:tcW w:type="dxa" w:w="27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Потрібні ресурси</w:t>
            </w:r>
          </w:p>
        </w:tc>
        <w:tc>
          <w:tcPr>
            <w:tcW w:type="dxa" w:w="66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людські: керівник проєкту, бізнес- і системний аналітики, архітектор, 8 розробників, аналітик даних, інженери IoT і з розгортання, офіцер кібербезпеки, інженер з якості, інструктор;</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технічні: 9 периферійних шлюзів, обладнання основного та резервного ЦОД, тестовий стенд із симулятором сенсорів і перехоплювачів;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фінансові: згідно з бюджетом</w:t>
            </w:r>
          </w:p>
        </w:tc>
      </w:tr>
      <w:tr>
        <w:trPr>
          <w:cantSplit w:val="true"/>
        </w:trPr>
        <w:tc>
          <w:tcPr>
            <w:tcW w:type="dxa" w:w="271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Дати початку і кінця</w:t>
            </w:r>
          </w:p>
        </w:tc>
        <w:tc>
          <w:tcPr>
            <w:tcW w:type="dxa" w:w="6639"/>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Початок — 02.11.2026; завершення — 29.10.2027; дослідна експлуатація — 60 робочих днів</w:t>
            </w:r>
          </w:p>
        </w:tc>
      </w:tr>
    </w:tbl>
    <w:p>
      <w:pPr>
        <w:keepNext/>
        <w:pageBreakBefore/>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1.10 — Характеристики робочих пакетів проєкту</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71"/>
        <w:gridCol w:w="1871"/>
        <w:gridCol w:w="1871"/>
        <w:gridCol w:w="1871"/>
        <w:gridCol w:w="1871"/>
      </w:tblGrid>
      <w:tr>
        <w:trPr>
          <w:tblHeader w:val="true"/>
          <w:cantSplit w:val="true"/>
        </w:trPr>
        <w:tc>
          <w:tcPr>
            <w:tcW w:type="dxa" w:w="1014"/>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Код</w:t>
            </w:r>
          </w:p>
        </w:tc>
        <w:tc>
          <w:tcPr>
            <w:tcW w:type="dxa" w:w="3381"/>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Робочий пакет</w:t>
            </w:r>
          </w:p>
        </w:tc>
        <w:tc>
          <w:tcPr>
            <w:tcW w:type="dxa" w:w="2198"/>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Відповідальний</w:t>
            </w:r>
          </w:p>
        </w:tc>
        <w:tc>
          <w:tcPr>
            <w:tcW w:type="dxa" w:w="1521"/>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Тривалість, роб. дн.</w:t>
            </w:r>
          </w:p>
        </w:tc>
        <w:tc>
          <w:tcPr>
            <w:tcW w:type="dxa" w:w="1240"/>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Бюджет, тис. грн</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1.1.1.1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Розроблення плану проєкту та WBS</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проєкту</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1.1.1.2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Моніторинг виконання та звітність</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проєкту</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240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900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1.1.2.1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Реєстр ризиків і план реагування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проєкту</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1.1.2.2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Контроль якості та приймання результатів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Інженер з якості</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Обстеження діяльності центру та сенсорної мережі</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Бізнес-аналітик</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Моделювання бізнес-процесів «як є» та «як має бути»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Бізнес-аналітик</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Розроблення та погодження ТЗ за ГОСТ 34.602-89</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Системний аналітик</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Концепція архітектури та вимоги безпеки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Архітектор рішення</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280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Постачання та налаштування 9 периферійних шлюзів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Інженер IoT</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1 800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Буферизація даних з відкладеною передачею</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Адаптер MQTT для акустичних сенсорів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Адаптер ASTERIX для РЛС</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700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1.3.2.3</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Адаптер MAVLink 2 для наземних станцій управління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700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1.3.3.1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Реєстр сенсорів і перехоплювачів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1.3.3.2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Моніторинг стану пристроїв і сповіщення про збої</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Сервіс злиття виявлень у треки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1 600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Прогноз траєкторій і часу підльоту</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Модель класифікації повітряних цілей</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Аналітик даних</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1 400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Розрахунок пріоритету загрози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1.4.3.1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Мнемосхема повітряної обстановки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інтерфейсів</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1.4.3.2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Черга загроз і картка треку</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інтерфейсів</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Підбір розрахунку-кандидата</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Санкціонування пуску за правилом двох осіб</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Машина станів місії та журнал подій</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750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Застосунок планшета розрахунку</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мобільних застосунків</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1 200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1.5.3.1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Імпорт планів польотів дружньої авіації</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300</w:t>
            </w:r>
          </w:p>
        </w:tc>
      </w:tr>
      <w:tr>
        <w:trPr>
          <w:cantSplit w:val="true"/>
        </w:trPr>
        <w:tc>
          <w:tcPr>
            <w:tcW w:type="dxa" w:w="1014"/>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1.5.3.2</w:t>
            </w:r>
          </w:p>
        </w:tc>
        <w:tc>
          <w:tcPr>
            <w:tcW w:type="dxa" w:w="338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Контроль зон заборони ураження</w:t>
            </w:r>
          </w:p>
        </w:tc>
        <w:tc>
          <w:tcPr>
            <w:tcW w:type="dxa" w:w="219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10</w:t>
            </w:r>
          </w:p>
        </w:tc>
        <w:tc>
          <w:tcPr>
            <w:tcW w:type="dxa" w:w="1240"/>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300</w:t>
            </w:r>
          </w:p>
        </w:tc>
      </w:tr>
    </w:tbl>
    <w:p>
      <w:pPr>
        <w:keepNext/>
        <w:pageBreakBefore/>
        <w:widowControl/>
        <w:spacing w:line="360" w:lineRule="auto" w:before="120" w:after="0"/>
        <w:ind w:firstLine="0" w:left="0"/>
        <w:jc w:val="left"/>
      </w:pPr>
      <w:r>
        <w:rPr>
          <w:rFonts w:ascii="Times New Roman" w:hAnsi="Times New Roman" w:cs="Times New Roman" w:eastAsia="Times New Roman"/>
          <w:b w:val="0"/>
          <w:i w:val="0"/>
          <w:color w:val="000000"/>
          <w:sz w:val="28"/>
        </w:rPr>
        <w:t>Продовження таблиці 1.10</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71"/>
        <w:gridCol w:w="1871"/>
        <w:gridCol w:w="1871"/>
        <w:gridCol w:w="1871"/>
        <w:gridCol w:w="1871"/>
      </w:tblGrid>
      <w:tr>
        <w:trPr>
          <w:tblHeader w:val="true"/>
          <w:cantSplit w:val="true"/>
        </w:trPr>
        <w:tc>
          <w:tcPr>
            <w:tcW w:type="dxa" w:w="1014"/>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Код</w:t>
            </w:r>
          </w:p>
        </w:tc>
        <w:tc>
          <w:tcPr>
            <w:tcW w:type="dxa" w:w="3381"/>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Робочий пакет</w:t>
            </w:r>
          </w:p>
        </w:tc>
        <w:tc>
          <w:tcPr>
            <w:tcW w:type="dxa" w:w="2198"/>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Відповідальний</w:t>
            </w:r>
          </w:p>
        </w:tc>
        <w:tc>
          <w:tcPr>
            <w:tcW w:type="dxa" w:w="1521"/>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Тривалість, роб. дн.</w:t>
            </w:r>
          </w:p>
        </w:tc>
        <w:tc>
          <w:tcPr>
            <w:tcW w:type="dxa" w:w="1240"/>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Бюджет, тис. грн</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Облік готовності розрахунків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Облік перехоплювачів, АКБ і запасів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Автоматичні звіти про перехоплення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Панель КПЕ та відтворення місій</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Аналітик даних</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Розгортання основного та резервного ЦОД</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Інженер з розгортання</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3 600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Шина подій і сховища даних</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Інженер з розгортання</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900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Інфраструктура відкритих ключів, mTLS і керування доступом</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Офіцер кібербезпеки</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Журнал аудиту і моніторинг подій безпеки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Офіцер кібербезпеки</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1.7.2.3</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Створення КСЗІ та її державна експертиза</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Офіцер кібербезпеки</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1 500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Попередні автономні та комплексні випробування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Інженер з якості</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Дослідна експлуатація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Начальник КП</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900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Навчання операторів та адміністраторів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Інструктор</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Експлуатаційна документація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Технічний письменник</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1.8.3.1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Приймальні випробування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проєкту</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180</w:t>
            </w:r>
          </w:p>
        </w:tc>
      </w:tr>
      <w:tr>
        <w:trPr>
          <w:cantSplit w:val="true"/>
        </w:trPr>
        <w:tc>
          <w:tcPr>
            <w:tcW w:type="dxa" w:w="1014"/>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1.8.3.2</w:t>
            </w:r>
          </w:p>
        </w:tc>
        <w:tc>
          <w:tcPr>
            <w:tcW w:type="dxa" w:w="338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Введення в постійну експлуатацію</w:t>
            </w:r>
          </w:p>
        </w:tc>
        <w:tc>
          <w:tcPr>
            <w:tcW w:type="dxa" w:w="219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проєкту</w:t>
            </w:r>
          </w:p>
        </w:tc>
        <w:tc>
          <w:tcPr>
            <w:tcW w:type="dxa" w:w="152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4</w:t>
            </w:r>
          </w:p>
        </w:tc>
        <w:tc>
          <w:tcPr>
            <w:tcW w:type="dxa" w:w="1240"/>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120</w:t>
            </w:r>
          </w:p>
        </w:tc>
      </w:tr>
    </w:tbl>
    <w:p>
      <w:pPr>
        <w:keepNext/>
        <w:pageBreakBefore/>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1.11 — Зворотні обчислення бюджету за субпроєктами</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336"/>
        <w:gridCol w:w="1336"/>
        <w:gridCol w:w="1336"/>
        <w:gridCol w:w="1336"/>
        <w:gridCol w:w="1336"/>
        <w:gridCol w:w="1336"/>
        <w:gridCol w:w="1336"/>
      </w:tblGrid>
      <w:tr>
        <w:trPr>
          <w:tblHeader w:val="true"/>
          <w:cantSplit w:val="true"/>
        </w:trPr>
        <w:tc>
          <w:tcPr>
            <w:tcW w:type="dxa" w:w="616"/>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Код</w:t>
            </w:r>
          </w:p>
        </w:tc>
        <w:tc>
          <w:tcPr>
            <w:tcW w:type="dxa" w:w="2241"/>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Субпроєкт</w:t>
            </w:r>
          </w:p>
        </w:tc>
        <w:tc>
          <w:tcPr>
            <w:tcW w:type="dxa" w:w="2017"/>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Відповідальний</w:t>
            </w:r>
          </w:p>
        </w:tc>
        <w:tc>
          <w:tcPr>
            <w:tcW w:type="dxa" w:w="784"/>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К-сть РП</w:t>
            </w:r>
          </w:p>
        </w:tc>
        <w:tc>
          <w:tcPr>
            <w:tcW w:type="dxa" w:w="1456"/>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Терміни</w:t>
            </w:r>
          </w:p>
        </w:tc>
        <w:tc>
          <w:tcPr>
            <w:tcW w:type="dxa" w:w="1176"/>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Бюджет, тис. грн</w:t>
            </w:r>
          </w:p>
        </w:tc>
        <w:tc>
          <w:tcPr>
            <w:tcW w:type="dxa" w:w="1064"/>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Частка, %</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1.1</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Управління проєктом</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проєкту</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02.11.2026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29.10.2027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1 700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5,8</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Обстеження та формування вимог</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Провідний бізнес-аналітик</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02.11.2026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29.01.2027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1 330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Підсистема збору телеметрії</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Провідний інженер IoT</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7</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01.02.2027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28.05.2027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4 900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16,7</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Підсистема ситуаційної обізнаності</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Архітектор рішення</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01.02.2027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30.06.2027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5 350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18,2</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Підсистема координації перехоплення</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групи розробки</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01.03.2027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30.06.2027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3 800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13,0</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Підсистема ресурсів, аналітики та звітності</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Провідний аналітик даних</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03.05.2027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30.07.2027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2 200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7,5</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Інфраструктура та кібербезпека</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Начальник служби зв’язку та ІТ</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01.02.2027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30.07.2027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7 450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25,4</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Впровадження</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проєкту</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02.08.2027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29.10.2027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2 600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8,9</w:t>
            </w:r>
          </w:p>
        </w:tc>
      </w:tr>
      <w:tr>
        <w:trPr>
          <w:cantSplit w:val="true"/>
        </w:trPr>
        <w:tc>
          <w:tcPr>
            <w:tcW w:type="dxa" w:w="61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1</w:t>
            </w:r>
          </w:p>
        </w:tc>
        <w:tc>
          <w:tcPr>
            <w:tcW w:type="dxa" w:w="2241"/>
          </w:tcPr>
          <w:p>
            <w:pPr>
              <w:keepNext w:val="0"/>
              <w:widowControl/>
              <w:spacing w:line="240" w:lineRule="auto" w:before="0" w:after="0"/>
              <w:ind w:firstLine="0" w:left="0"/>
              <w:jc w:val="left"/>
            </w:pPr>
            <w:r/>
            <w:r>
              <w:rPr>
                <w:rFonts w:ascii="Times New Roman" w:hAnsi="Times New Roman" w:cs="Times New Roman" w:eastAsia="Times New Roman"/>
                <w:b/>
                <w:i w:val="0"/>
                <w:color w:val="000000"/>
                <w:sz w:val="22"/>
              </w:rPr>
              <w:t>Разом за проєктом</w:t>
            </w:r>
          </w:p>
        </w:tc>
        <w:tc>
          <w:tcPr>
            <w:tcW w:type="dxa" w:w="2017"/>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проєкту</w:t>
            </w:r>
          </w:p>
        </w:tc>
        <w:tc>
          <w:tcPr>
            <w:tcW w:type="dxa" w:w="784"/>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42</w:t>
            </w:r>
          </w:p>
        </w:tc>
        <w:tc>
          <w:tcPr>
            <w:tcW w:type="dxa" w:w="145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02.11.2026 –</w:t>
            </w:r>
          </w:p>
          <w:p>
            <w:pPr>
              <w:keepNext w:val="0"/>
              <w:widowControl/>
              <w:spacing w:line="240" w:lineRule="auto" w:before="0" w:after="0"/>
              <w:ind w:firstLine="0" w:left="0"/>
              <w:jc w:val="left"/>
            </w:pPr>
            <w:r>
              <w:rPr>
                <w:rFonts w:ascii="Times New Roman" w:hAnsi="Times New Roman" w:cs="Times New Roman" w:eastAsia="Times New Roman"/>
                <w:b w:val="0"/>
                <w:i w:val="0"/>
                <w:color w:val="000000"/>
                <w:sz w:val="22"/>
              </w:rPr>
              <w:t>29.10.2027</w:t>
            </w:r>
          </w:p>
        </w:tc>
        <w:tc>
          <w:tcPr>
            <w:tcW w:type="dxa" w:w="1176"/>
          </w:tcPr>
          <w:p>
            <w:pPr>
              <w:keepNext w:val="0"/>
              <w:widowControl/>
              <w:spacing w:line="240" w:lineRule="auto" w:before="0" w:after="0"/>
              <w:ind w:firstLine="0" w:left="0"/>
              <w:jc w:val="left"/>
            </w:pPr>
            <w:r/>
            <w:r>
              <w:rPr>
                <w:rFonts w:ascii="Times New Roman" w:hAnsi="Times New Roman" w:cs="Times New Roman" w:eastAsia="Times New Roman"/>
                <w:b/>
                <w:i w:val="0"/>
                <w:color w:val="000000"/>
                <w:sz w:val="22"/>
              </w:rPr>
              <w:t>29 330</w:t>
            </w:r>
          </w:p>
        </w:tc>
        <w:tc>
          <w:tcPr>
            <w:tcW w:type="dxa" w:w="1064"/>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100,0</w:t>
            </w:r>
          </w:p>
        </w:tc>
      </w:tr>
    </w:tbl>
    <w:p>
      <w:pPr>
        <w:keepNext w:val="0"/>
        <w:widowControl/>
        <w:spacing w:line="240" w:lineRule="auto" w:before="0" w:after="0"/>
        <w:ind w:firstLine="0" w:left="0"/>
        <w:jc w:val="both"/>
      </w:pP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Найбільшу частку бюджету становлять субпроєкти «Інфраструктура та кібербезпека», «Підсистема ситуаційної обізнаності» та «Підсистема збору телеметрії», що пояснюється вартістю обладнання та трудомісткістю розроблення сервісів реального часу. Критичними за термінами є підсистеми ситуаційної обізнаності та координації перехоплення: їх завершення до 30.06.2027 є передумовою для комплексних випробувань і дослідної експлуатації.</w:t>
      </w:r>
    </w:p>
    <w:p>
      <w:pPr>
        <w:pStyle w:val="140"/>
        <w:keepNext/>
        <w:pageBreakBefore/>
        <w:widowControl/>
        <w:spacing w:line="360" w:lineRule="auto" w:before="120" w:after="120"/>
        <w:ind w:firstLine="709" w:left="0"/>
        <w:jc w:val="left"/>
      </w:pPr>
      <w:bookmarkStart w:id="17" w:name="_Toc000017"/>
      <w:r>
        <w:rPr>
          <w:rFonts w:ascii="Times New Roman" w:hAnsi="Times New Roman" w:cs="Times New Roman" w:eastAsia="Times New Roman"/>
          <w:b/>
          <w:i w:val="0"/>
          <w:color w:val="000000"/>
          <w:sz w:val="28"/>
        </w:rPr>
        <w:t>14. Схематичне WBS-зображення проєкту</w:t>
      </w:r>
      <w:bookmarkEnd w:id="17"/>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Верхній рівень робочої структури проєкту (рівні 1–2) подано на рис. 1.4. Деталізацію субпроєктів до робочих пакетів подано на рис. 1.5–1.10; субпроєкти згруповано так, щоб кожен рисунок залишався читабельним.</w:t>
      </w:r>
    </w:p>
    <w:p>
      <w:pPr>
        <w:keepNext/>
        <w:widowControl/>
        <w:spacing w:line="240" w:lineRule="auto" w:before="120" w:after="0"/>
        <w:ind w:firstLine="0" w:left="0"/>
        <w:jc w:val="center"/>
      </w:pPr>
      <w:r>
        <w:drawing>
          <wp:inline xmlns:pic="http://schemas.openxmlformats.org/drawingml/2006/picture">
            <wp:extent cx="4651200" cy="7488102"/>
            <wp:docPr id="4" name="Picture 4"/>
            <wp:cNvGraphicFramePr>
              <a:graphicFrameLocks noChangeAspect="1"/>
            </wp:cNvGraphicFramePr>
            <a:graphic>
              <a:graphicData uri="http://schemas.openxmlformats.org/drawingml/2006/picture">
                <pic:pic>
                  <pic:nvPicPr>
                    <pic:cNvPr id="0" name="09_wbs_overview.png"/>
                    <pic:cNvPicPr/>
                  </pic:nvPicPr>
                  <pic:blipFill>
                    <a:blip r:embed="rId17"/>
                    <a:stretch>
                      <a:fillRect/>
                    </a:stretch>
                  </pic:blipFill>
                  <pic:spPr>
                    <a:xfrm>
                      <a:off x="0" y="0"/>
                      <a:ext cx="4651200" cy="7488102"/>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1.4 — Робоча структура проєкту «Створення IoT-платформи „Щит-Лінк“»: рівні 1–2</w:t>
      </w:r>
    </w:p>
    <w:p>
      <w:pPr>
        <w:keepNext/>
        <w:widowControl/>
        <w:spacing w:line="240" w:lineRule="auto" w:before="120" w:after="0"/>
        <w:ind w:firstLine="0" w:left="0"/>
        <w:jc w:val="center"/>
      </w:pPr>
      <w:r>
        <w:drawing>
          <wp:inline xmlns:pic="http://schemas.openxmlformats.org/drawingml/2006/picture">
            <wp:extent cx="5644800" cy="8091624"/>
            <wp:docPr id="5" name="Picture 5"/>
            <wp:cNvGraphicFramePr>
              <a:graphicFrameLocks noChangeAspect="1"/>
            </wp:cNvGraphicFramePr>
            <a:graphic>
              <a:graphicData uri="http://schemas.openxmlformats.org/drawingml/2006/picture">
                <pic:pic>
                  <pic:nvPicPr>
                    <pic:cNvPr id="0" name="10_wbs_1_1_1_2.png"/>
                    <pic:cNvPicPr/>
                  </pic:nvPicPr>
                  <pic:blipFill>
                    <a:blip r:embed="rId18"/>
                    <a:stretch>
                      <a:fillRect/>
                    </a:stretch>
                  </pic:blipFill>
                  <pic:spPr>
                    <a:xfrm>
                      <a:off x="0" y="0"/>
                      <a:ext cx="5644800" cy="8091624"/>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1.5 — WBS: субпроєкти 1.1 «Управління проєктом» і 1.2 «Обстеження та формування вимог» (рівні 2–4)</w:t>
      </w:r>
    </w:p>
    <w:p>
      <w:pPr>
        <w:keepNext/>
        <w:widowControl/>
        <w:spacing w:line="240" w:lineRule="auto" w:before="120" w:after="0"/>
        <w:ind w:firstLine="0" w:left="0"/>
        <w:jc w:val="center"/>
      </w:pPr>
      <w:r>
        <w:drawing>
          <wp:inline xmlns:pic="http://schemas.openxmlformats.org/drawingml/2006/picture">
            <wp:extent cx="5940000" cy="7620824"/>
            <wp:docPr id="6" name="Picture 6"/>
            <wp:cNvGraphicFramePr>
              <a:graphicFrameLocks noChangeAspect="1"/>
            </wp:cNvGraphicFramePr>
            <a:graphic>
              <a:graphicData uri="http://schemas.openxmlformats.org/drawingml/2006/picture">
                <pic:pic>
                  <pic:nvPicPr>
                    <pic:cNvPr id="0" name="11_wbs_1_3.png"/>
                    <pic:cNvPicPr/>
                  </pic:nvPicPr>
                  <pic:blipFill>
                    <a:blip r:embed="rId19"/>
                    <a:stretch>
                      <a:fillRect/>
                    </a:stretch>
                  </pic:blipFill>
                  <pic:spPr>
                    <a:xfrm>
                      <a:off x="0" y="0"/>
                      <a:ext cx="5940000" cy="7620824"/>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1.6 — WBS: субпроєкт 1.3 «Підсистема збору телеметрії» (рівні 2–4)</w:t>
      </w:r>
    </w:p>
    <w:p>
      <w:pPr>
        <w:keepNext/>
        <w:widowControl/>
        <w:spacing w:line="240" w:lineRule="auto" w:before="120" w:after="0"/>
        <w:ind w:firstLine="0" w:left="0"/>
        <w:jc w:val="center"/>
      </w:pPr>
      <w:r>
        <w:drawing>
          <wp:inline xmlns:pic="http://schemas.openxmlformats.org/drawingml/2006/picture">
            <wp:extent cx="5900400" cy="6189231"/>
            <wp:docPr id="7" name="Picture 7"/>
            <wp:cNvGraphicFramePr>
              <a:graphicFrameLocks noChangeAspect="1"/>
            </wp:cNvGraphicFramePr>
            <a:graphic>
              <a:graphicData uri="http://schemas.openxmlformats.org/drawingml/2006/picture">
                <pic:pic>
                  <pic:nvPicPr>
                    <pic:cNvPr id="0" name="12_wbs_1_4.png"/>
                    <pic:cNvPicPr/>
                  </pic:nvPicPr>
                  <pic:blipFill>
                    <a:blip r:embed="rId20"/>
                    <a:stretch>
                      <a:fillRect/>
                    </a:stretch>
                  </pic:blipFill>
                  <pic:spPr>
                    <a:xfrm>
                      <a:off x="0" y="0"/>
                      <a:ext cx="5900400" cy="6189231"/>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1.7 — WBS: субпроєкт 1.4 «Підсистема ситуаційної обізнаності» (рівні 2–4)</w:t>
      </w:r>
    </w:p>
    <w:p>
      <w:pPr>
        <w:keepNext/>
        <w:widowControl/>
        <w:spacing w:line="240" w:lineRule="auto" w:before="120" w:after="0"/>
        <w:ind w:firstLine="0" w:left="0"/>
        <w:jc w:val="center"/>
      </w:pPr>
      <w:r>
        <w:drawing>
          <wp:inline xmlns:pic="http://schemas.openxmlformats.org/drawingml/2006/picture">
            <wp:extent cx="5940000" cy="6127923"/>
            <wp:docPr id="8" name="Picture 8"/>
            <wp:cNvGraphicFramePr>
              <a:graphicFrameLocks noChangeAspect="1"/>
            </wp:cNvGraphicFramePr>
            <a:graphic>
              <a:graphicData uri="http://schemas.openxmlformats.org/drawingml/2006/picture">
                <pic:pic>
                  <pic:nvPicPr>
                    <pic:cNvPr id="0" name="13_wbs_1_5.png"/>
                    <pic:cNvPicPr/>
                  </pic:nvPicPr>
                  <pic:blipFill>
                    <a:blip r:embed="rId21"/>
                    <a:stretch>
                      <a:fillRect/>
                    </a:stretch>
                  </pic:blipFill>
                  <pic:spPr>
                    <a:xfrm>
                      <a:off x="0" y="0"/>
                      <a:ext cx="5940000" cy="6127923"/>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1.8 — WBS: субпроєкт 1.5 «Підсистема координації перехоплення» (рівні 2–4)</w:t>
      </w:r>
    </w:p>
    <w:p>
      <w:pPr>
        <w:keepNext/>
        <w:widowControl/>
        <w:spacing w:line="240" w:lineRule="auto" w:before="120" w:after="0"/>
        <w:ind w:firstLine="0" w:left="0"/>
        <w:jc w:val="center"/>
      </w:pPr>
      <w:r>
        <w:drawing>
          <wp:inline xmlns:pic="http://schemas.openxmlformats.org/drawingml/2006/picture">
            <wp:extent cx="5277600" cy="8101459"/>
            <wp:docPr id="9" name="Picture 9"/>
            <wp:cNvGraphicFramePr>
              <a:graphicFrameLocks noChangeAspect="1"/>
            </wp:cNvGraphicFramePr>
            <a:graphic>
              <a:graphicData uri="http://schemas.openxmlformats.org/drawingml/2006/picture">
                <pic:pic>
                  <pic:nvPicPr>
                    <pic:cNvPr id="0" name="14_wbs_1_6_1_7.png"/>
                    <pic:cNvPicPr/>
                  </pic:nvPicPr>
                  <pic:blipFill>
                    <a:blip r:embed="rId22"/>
                    <a:stretch>
                      <a:fillRect/>
                    </a:stretch>
                  </pic:blipFill>
                  <pic:spPr>
                    <a:xfrm>
                      <a:off x="0" y="0"/>
                      <a:ext cx="5277600" cy="8101459"/>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1.9 — WBS: субпроєкти 1.6 «Підсистема ресурсів, аналітики та звітності» і 1.7 «Інфраструктура та кібербезпека» (рівні 2–4)</w:t>
      </w:r>
    </w:p>
    <w:p>
      <w:pPr>
        <w:keepNext/>
        <w:widowControl/>
        <w:spacing w:line="240" w:lineRule="auto" w:before="120" w:after="0"/>
        <w:ind w:firstLine="0" w:left="0"/>
        <w:jc w:val="center"/>
      </w:pPr>
      <w:r>
        <w:drawing>
          <wp:inline xmlns:pic="http://schemas.openxmlformats.org/drawingml/2006/picture">
            <wp:extent cx="5940000" cy="6261081"/>
            <wp:docPr id="10" name="Picture 10"/>
            <wp:cNvGraphicFramePr>
              <a:graphicFrameLocks noChangeAspect="1"/>
            </wp:cNvGraphicFramePr>
            <a:graphic>
              <a:graphicData uri="http://schemas.openxmlformats.org/drawingml/2006/picture">
                <pic:pic>
                  <pic:nvPicPr>
                    <pic:cNvPr id="0" name="15_wbs_1_8.png"/>
                    <pic:cNvPicPr/>
                  </pic:nvPicPr>
                  <pic:blipFill>
                    <a:blip r:embed="rId23"/>
                    <a:stretch>
                      <a:fillRect/>
                    </a:stretch>
                  </pic:blipFill>
                  <pic:spPr>
                    <a:xfrm>
                      <a:off x="0" y="0"/>
                      <a:ext cx="5940000" cy="6261081"/>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1.10 — WBS: субпроєкт 1.8 «Впровадження» (рівні 2–4)</w:t>
      </w:r>
    </w:p>
    <w:p>
      <w:pPr>
        <w:pStyle w:val="139"/>
        <w:keepNext/>
        <w:pageBreakBefore w:val="0"/>
        <w:widowControl/>
        <w:spacing w:line="360" w:lineRule="auto" w:before="240" w:after="240"/>
        <w:ind w:firstLine="0" w:left="0"/>
        <w:jc w:val="center"/>
      </w:pPr>
      <w:bookmarkStart w:id="18" w:name="_Toc000018"/>
      <w:r>
        <w:rPr>
          <w:rFonts w:ascii="Times New Roman" w:hAnsi="Times New Roman" w:cs="Times New Roman" w:eastAsia="Times New Roman"/>
          <w:b/>
          <w:i w:val="0"/>
          <w:color w:val="000000"/>
          <w:sz w:val="28"/>
        </w:rPr>
        <w:t>ГРАФІЧНА ЧАСТИНА</w:t>
      </w:r>
      <w:bookmarkEnd w:id="18"/>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Графічні матеріали роботи розміщено безпосередньо у відповідних підрозділах ходу виконання, щоб кожна схема була поруч із її описом. Перелік графічних матеріалів:</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рис. 1.1 — структурна схема умовного РЦПДО «Щит-Північ»;</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рис. 1.2 — послідовність робіт командного пункту;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рис. 1.3 — дерево цілей (усі рівні на одній схемі);</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рис. 1.4 — робоча структура проєкту, рівні 1–2;</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рис. 1.5–1.10 — деталізація субпроєктів до робочих пакетів.</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Схеми виконано засобами текстового опису діаграм (Mermaid; дерево цілей — власним генератором SVG) з автоматичним контролем читабельності: розмір шрифту в документі — не менше 10 пт, роздільна здатність зображень — не менше 300 точок на дюйм.</w:t>
      </w:r>
    </w:p>
    <w:p>
      <w:pPr>
        <w:pStyle w:val="139"/>
        <w:keepNext/>
        <w:pageBreakBefore/>
        <w:widowControl/>
        <w:spacing w:line="360" w:lineRule="auto" w:before="240" w:after="240"/>
        <w:ind w:firstLine="0" w:left="0"/>
        <w:jc w:val="center"/>
      </w:pPr>
      <w:bookmarkStart w:id="19" w:name="_Toc000019"/>
      <w:r>
        <w:rPr>
          <w:rFonts w:ascii="Times New Roman" w:hAnsi="Times New Roman" w:cs="Times New Roman" w:eastAsia="Times New Roman"/>
          <w:b/>
          <w:i w:val="0"/>
          <w:color w:val="000000"/>
          <w:sz w:val="28"/>
        </w:rPr>
        <w:t>ВИСНОВКИ</w:t>
      </w:r>
      <w:bookmarkEnd w:id="19"/>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У лабораторній роботі досліджено діяльність умовного регіонального центру протидронової оборони РЦПДО «Щит-Північ»: подано загальні відомості, побудовано структурну схему з дев’ятьма підрозділами, описано роботи командного пункту у вигляді алгоритму з восьми кроків, визначено задачі та функції підрозділів і складено таблицю функціональних взаємозв’язків командного пункту з вісьмома підрозділами.</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На основі аналізу сформульовано десять задач, які потребують автоматизації, — від збору та нормалізації телеметрії до управління доступом і аудиту; вони визначають функціональний склад IoT-платформи «Щит-Лінк».</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Методом дезагрегації побудовано дерево цілей системи з чотирма рівнями: генеральна мета, 5 цілей першого рівня, 15 вимірюваних цілей другого рівня та 30 заходів третього рівня, серед яких виділено альтернативні варіанти («і/або»-дерево). Дерево відповідає вимогам повноти редукції, незалежності підцілей і єдності методологічного підходу.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Виконано WBS-аналіз проєкту «Створення IoT-платформи „Щит-Лінк“»: за продуктовим принципом побудовано чотирирівневу структуру з 8 субпроєктами, 20 блоками та 42 робочими пакетами з ієрархічним кодуванням; для кожного пакета визначено відповідального, тривалість і бюджет, а зворотними обчисленнями отримано загальний бюджет 29 330 тис. грн при тривалості проєкту 12 місяців. Отримані результати є основою для побудови моделей бізнес-процесів у наступних лабораторних роботах.</w:t>
      </w:r>
    </w:p>
    <w:p>
      <w:pPr>
        <w:pStyle w:val="139"/>
        <w:keepNext/>
        <w:pageBreakBefore/>
        <w:widowControl/>
        <w:spacing w:line="360" w:lineRule="auto" w:before="240" w:after="240"/>
        <w:ind w:firstLine="0" w:left="0"/>
        <w:jc w:val="center"/>
      </w:pPr>
      <w:bookmarkStart w:id="20" w:name="_Toc000020"/>
      <w:r>
        <w:rPr>
          <w:rFonts w:ascii="Times New Roman" w:hAnsi="Times New Roman" w:cs="Times New Roman" w:eastAsia="Times New Roman"/>
          <w:b/>
          <w:i w:val="0"/>
          <w:color w:val="000000"/>
          <w:sz w:val="28"/>
        </w:rPr>
        <w:t>СПИСОК ВИКОРИСТАНИХ ДЖЕРЕЛ</w:t>
      </w:r>
      <w:bookmarkEnd w:id="20"/>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1) Гладка М. В. Проєктування інформаційних систем : конспект лекцій (лекції 1–9). Київ : КНУ імені Тараса Шевченка, 2026.</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2) Марченко А. В. Проектування інформаційних систем : навч. посіб. 2015.</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3) Пістунов І. М. Проектування інформаційних систем : навч. посіб. Дніпропетровськ : НГУ, 2008. 71 с.</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4) Ременяк Л. В. Проектування інформаційних систем : конспект лекцій. Одеса : ОДЕкУ, 2016. 152 с.</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5) Коваленко О. С., Добровська Л. М. Проектування інформаційних систем: загальні питання теорії проектування ІС : конспект лекцій. Київ : КПІ ім. Ігоря Сікорського, 2020. 192 с.</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6) ГОСТ 34.601-90. Інформаційна технологія. Комплекс стандартів на автоматизовані системи. Автоматизовані системи. Стадії створення.</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7) ДСТУ 3008:2015. Інформація та документація. Звіти у сфері науки і техніки. Структура та правила оформлювання.</w:t>
      </w:r>
    </w:p>
    <w:sectPr>
      <w:footerReference w:type="default" r:id="rId8"/>
      <w:headerReference w:type="default" r:id="rId9"/>
      <w:footnotePr/>
      <w:endnotePr/>
      <w:pgSz w:h="16838"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widowControl/>
      <w:spacing w:line="240" w:lineRule="auto" w:before="0" w:after="0"/>
      <w:ind w:firstLine="0" w:left="0"/>
      <w:jc w:val="center"/>
    </w:pPr>
    <w:r>
      <w:rPr>
        <w:rFonts w:ascii="Times New Roman" w:hAnsi="Times New Roman" w:cs="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uk-UA"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Times New Roman" w:hAnsi="Times New Roman" w:cs="Times New Roman" w:eastAsia="Times New Roman"/>
      <w:b/>
      <w:color w:val="000000"/>
      <w:sz w:val="28"/>
      <w:szCs w:val="28"/>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Times New Roman" w:hAnsi="Times New Roman" w:cs="Times New Roman" w:eastAsia="Times New Roman"/>
      <w:b/>
      <w:color w:val="000000"/>
      <w:sz w:val="28"/>
      <w:szCs w:val="28"/>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Times New Roman" w:hAnsi="Times New Roman" w:cs="Times New Roman" w:eastAsia="Times New Roman"/>
      <w:b/>
      <w:color w:val="000000"/>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rPr>
      <w:rFonts w:ascii="Times New Roman" w:hAnsi="Times New Roman" w:cs="Times New Roman" w:eastAsia="Times New Roman"/>
      <w:color w:val="000000"/>
      <w:sz w:val="28"/>
      <w:szCs w:val="28"/>
    </w:rPr>
  </w:style>
  <w:style w:type="paragraph" w:styleId="190">
    <w:name w:val="toc 2"/>
    <w:basedOn w:val="664"/>
    <w:next w:val="664"/>
    <w:uiPriority w:val="39"/>
    <w:unhideWhenUsed/>
    <w:pPr>
      <w:pBdr/>
      <w:spacing w:after="100"/>
      <w:ind w:left="220"/>
    </w:pPr>
    <w:rPr>
      <w:rFonts w:ascii="Times New Roman" w:hAnsi="Times New Roman" w:cs="Times New Roman" w:eastAsia="Times New Roman"/>
      <w:color w:val="000000"/>
      <w:sz w:val="28"/>
      <w:szCs w:val="28"/>
    </w:r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Петро Кравченко</dc:creator>
  <cp:revision>1</cp:revision>
  <dcterms:modified xsi:type="dcterms:W3CDTF">2026-10-03T10:31:14Z</dcterms:modified>
  <dc:title>Лабораторна робота №1. Вибір об’єкту дослідження. Формулювання задач, які потребують автоматизації. Побудова дерева цілей автоматизованої системи. Проведення WBS-аналізу</dc:title>
  <dc:subject>Проєктування інформаційних систем</dc:subject>
  <dc:language>uk-UA</dc:language>
</cp:coreProperties>
</file>