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Структура системи управління кібербезпекою підприємства та стандарти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Управління ризиками, Декларація про застосовність, NIST CSF і національна база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Кібернетична безпека підприємства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Ризик = ймовірність × вплив; обробка ризиків; заходи додатка A; NIST CSF 2.0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6; рис. 1.5; табл. 1.8, 1.9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cybersec_work/lab1/ЛР1_Кравченко_ІР-31.docx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Показує, як від загроз переходимо до конкретних заходів.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Процес управління ризиками (рис. 1.5) має шість складових: опис бізнес-процесів, збір ризиків, оцінка, планування заходів, реалізація, оцінка ефективності.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Шкала.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Ризик = ймовірність (1–5) × вплив (1–5); 1–7 — низький, 8–14 — середній, 15–25 — високий.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Табл. 1.8.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10 ризиків: 4 високі (З-01 фішинг — 20; З-02 корупційна зміна записів — 15; З-03 витік даних — 15; З-06 програма-вимагач — 15), 6 середніх, низьких немає.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Обробка.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Високі — обов’язкове зменшення; середні — зменшення в межах ресурсів.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Табл. 1.9.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Для кожної загрози — заходи додатка A, категорії NIST CSF 2.0 і вид заходу. Напр., З-01: 5.17, 8.5 (MFA), PR.AA/PR.AT, програмний і організаційний.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Розподіл за NIST CSF.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Protect — 9, Detect — 3, Recover — 3, Govern — 2, Identify — 2, Respond — 1: переважання Protect закономірне на етапі створення СУІБ.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Два контури.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Сертифікація за ISO 27001 добровільна, а національні вимоги обов’язкові: КСЗІ за НД ТЗІ, режим секретності, захист персональних даних, взаємодія з CERT-UA.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Декларація про застосовність?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Документ, у якому організація для кожного з 93 заходів додатка A вказує, чи застосовує його і чому; основа для нас — табл. 1.9.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найбільші ризики — фішинг і інсайдер, а не зовнішній злам?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Людський чинник обходить периметр: фішинг дає легітимні облікові дані, інсайдер уже має доступ; тому пріоритет — MFA, розподіл обов’язків, журналювання й навчання.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оцінюється ефективність СУІБ?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Моніторингом і метриками (частка операторів з MFA, час реагування), внутрішнім аудитом і аналізом керівництвом — розділ 9 стандарту.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Кожна загроза доведена до конкретних номерів заходів стандарту, а не загальних порад.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