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1 · Вибір об’єкта дослідження, дерево цілей і WBS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Гілка 4 дерева цілей «Безпечне, надійне та кіберзахищене функціонування системи»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Дерево цілей, метод дезагрегації, «і/або»-дерево (лекція 2)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lab1/drawio/07_Дерево_цілей_гілка_4.drawio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7 з 15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Захищеність, стійкість і запобігання ураженню дружніх повітряних суден — обмеження, без яких систему не можна вводити в експлуатацію.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Четверта гілка — безпека в трьох сенсах: інформаційна безпека, надійність і безпека застосування.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4.1 Захист інформації від несанкціонованого доступу</w:t>
      </w:r>
      <w:r>
        <w:rPr>
          <w:rFonts w:ascii="Times New Roman" w:hAnsi="Times New Roman" w:eastAsia="Times New Roman"/>
          <w:b w:val="0"/>
          <w:i w:val="0"/>
          <w:sz w:val="26"/>
        </w:rPr>
        <w:t>: 4.1.1 взаємна автентифікація пристроїв і сервісів (mTLS), 4.1.2 рольове управління доступом і багатофакторна автентифікація, 4.1.3 незмінний журнал аудиту всіх команд.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4.2 Доступність ядра 99,95 % та автономність периферії ≥ 4 год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: 4.2.1 локальне злиття даних і призначення цілей на периферійних шлюзах, альтернативи </w:t>
      </w:r>
      <w:r>
        <w:rPr>
          <w:rFonts w:ascii="Times New Roman" w:hAnsi="Times New Roman" w:eastAsia="Times New Roman"/>
          <w:b/>
          <w:i w:val="0"/>
          <w:sz w:val="26"/>
        </w:rPr>
        <w:t>4.2.2а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гаряче резервування у двох ЦОД або </w:t>
      </w:r>
      <w:r>
        <w:rPr>
          <w:rFonts w:ascii="Times New Roman" w:hAnsi="Times New Roman" w:eastAsia="Times New Roman"/>
          <w:b/>
          <w:i w:val="0"/>
          <w:sz w:val="26"/>
        </w:rPr>
        <w:t>4.2.2б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холодне з відновленням ≤ 15 хв.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4.3 Запобігання ураженню дружніх повітряних суден і цивільних об’єктів</w:t>
      </w:r>
      <w:r>
        <w:rPr>
          <w:rFonts w:ascii="Times New Roman" w:hAnsi="Times New Roman" w:eastAsia="Times New Roman"/>
          <w:b w:val="0"/>
          <w:i w:val="0"/>
          <w:sz w:val="26"/>
        </w:rPr>
        <w:t>: 4.3.1 автоматичний контроль зон заборони ураження, 4.3.2 правило двох осіб для санкціонування пуску.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Позначення рамок.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Заходи третього рівня згруповано в рамку під своєю ціллю. Суцільна рамка — обов’язковий захід (зв’язок «і»), пунктирна — альтернатива («або»), з якої на етапі проєктування обирається одна.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станеться при втраті зв’язку з ядром?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Захід 4.2.1: периферійний шлюз позиції продовжує локально зливати треки і призначати цілі своїм розрахункам щонайменше 4 год, а дані синхронізує після відновлення.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гаряче й холодне резервування — альтернативи? Можна ж обидва.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Вони взаємовиключні як стратегія резервування ядра: або постійно працюючий дубль (дорожче), або відновлення за 15 хв (дешевше). Одночасно не мають сенсу.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Правило двох осіб — це ціль чи захід?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Захід третього рівня: спосіб досягти цілі 4.3. Сам по собі він не є ціллю — так і має бути на нижньому рівні дерева.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Кожну гілку винесено окремим рисунком, бо ціле дерево (61 вершина) на одній сторінці було б нечитабельним — так само, як у лекції радять розбивати велику модель.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джерело — текстовий опис Mermaid (lab1/diagrams/*.mmd), з якого рисунок у звіті будується автоматично з контролем читабельності; файл draw.io отримано з того самого опису й розміщення, тому вони однакові. У draw.io можу наживо пересунути чи перейменувати вузол.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