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Вибір об’єкта дослідження, дерево цілей і WBS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WBS: субпроекти 1.1 «Управління проектом» і 1.2 «Обстеження та формування вимог»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WBS (Work Breakdown Structure), продуктовий принцип, рівні 2–4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lab1/drawio/10_WBS_1.1_1.2.drawio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10 з 15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Управлінські та передпроєктні роботи: план, ризики, якість, обстеження і ТЗ.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Тут два наскрізні субпроекти: управління проектом і обстеження з формуванням вимог. Вони не дають програмного продукту, але без них неможливо його створити.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1.1 Управління проектом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→ 1.1.1 «Планування та контроль» (1.1.1.1 план проекту та WBS, 1.1.1.2 моніторинг виконання і звітність) і 1.1.2 «Управління ризиками та якістю» (1.1.2.1 реєстр ризиків і план реагування, 1.1.2.2 контроль якості й приймання).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1.2 Обстеження та формування вимог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→ 1.2.1 «Обстеження об’єкта автоматизації» (1.2.1.1 обстеження діяльності центру і сенсорної мережі, 1.2.1.2 моделювання процесів «як є» і «як має бути») та 1.2.2 «Технічне завдання та концепція» (1.2.2.1 ТЗ за ГОСТ 34.602-89, 1.2.2.2 концепція архітектури та вимоги безпеки).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Коди.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Ієрархічне кодування 1.x / 1.x.x / 1.x.x.x — етап 5 розробки WBS «Формування системи кодування»: за кодом одразу видно, якому субпроекту належить пакет.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Моніторинг проекту — 240 днів. Хіба робочий пакет може бути таким довгим?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Це «рівномірна» робота протягом усього проекту, її не можна розбити за результатами. Я обумовив це виняток у таблиці етапів (до 240 днів).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1.2.1.2 «Моделювання процесів» — це і є наші ЛР2–ЛР4?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Так, саме BPMN, IDEF0, DFD у проекті виконуються в межах цього пакета.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ТЗ за ГОСТ 34.602-89, а не за ДСТУ?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весь проект я веду за комплексом ГОСТ 34 на автоматизовані системи — за ГОСТ 34.601-90 визначено стадії, а ГОСТ 34.602-89 задає склад і зміст ТЗ саме на АС; на ці стандарти спирається і посібник Ременяк, рекомендований до курсу.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Робочий пакет деталізовано до рівня, який можна оцінити за тривалістю й вартістю та доручити одному відповідальному (10–60 робочих днів) — це етап 1 «Визначення ступеня деталізації».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джерело — текстовий опис Mermaid (lab1/diagrams/*.mmd), з якого рисунок у звіті будується автоматично з контролем читабельності; файл draw.io отримано з того самого опису й розміщення, тому вони однакові. У draw.io можу наживо пересунути чи перейменувати вузол.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