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СУФЛЕР ДО ЗАХИСТУ · ЛР 2 · Моделювання бізнес-процесів у нотації BPMN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Пул P2 «Призначення цілі та санкціонування пуску» (частина 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Проєктування інформаційних систем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Нотація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BPMN 2.0, шлюз, керований подіями; подія-таймер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Файл draw.io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lab2/drawio/04_Пул_P2_Призначення_цілі_ч2.drawio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Порядок показу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4 з 8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Роль у системі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Доставка бойового завдання і контроль його прийняття за 15 с.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З чого почати відповідь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Друга частина пулу P2 починається з події-посилання «А». Тут найцікавіший елемент — шлюз, керований подіями: процес чекає, що станеться першим — підтвердження від розрахунку чи спливуть 15 секунд.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Покрокова екскурсія по схемі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1. </w:t>
      </w:r>
      <w:r>
        <w:rPr>
          <w:rFonts w:ascii="Times New Roman" w:hAnsi="Times New Roman" w:eastAsia="Times New Roman"/>
          <w:b/>
          <w:i w:val="0"/>
          <w:sz w:val="26"/>
        </w:rPr>
        <w:t>«З частини 1 (А)»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— проміжна подія-посилання, що ловить продовження.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2. </w:t>
      </w:r>
      <w:r>
        <w:rPr>
          <w:rFonts w:ascii="Times New Roman" w:hAnsi="Times New Roman" w:eastAsia="Times New Roman"/>
          <w:b/>
          <w:i w:val="0"/>
          <w:sz w:val="26"/>
        </w:rPr>
        <w:t>Офіцер бойового управління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— завдання відправлення повідомлення (конверт) «Передати бойове завдання розрахунку»; повідомлення «Бойове завдання» йде в пул «Виконання місії перехоплення».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3. </w:t>
      </w:r>
      <w:r>
        <w:rPr>
          <w:rFonts w:ascii="Times New Roman" w:hAnsi="Times New Roman" w:eastAsia="Times New Roman"/>
          <w:b/>
          <w:i w:val="0"/>
          <w:sz w:val="26"/>
        </w:rPr>
        <w:t>Шлюз, керований подіями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(ромб з п’ятикутником у колі). Далі дві проміжні події-перехоплення: </w:t>
      </w:r>
      <w:r>
        <w:rPr>
          <w:rFonts w:ascii="Times New Roman" w:hAnsi="Times New Roman" w:eastAsia="Times New Roman"/>
          <w:b/>
          <w:i w:val="0"/>
          <w:sz w:val="26"/>
        </w:rPr>
        <w:t>повідомлення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«Прийняття підтверджено» і </w:t>
      </w:r>
      <w:r>
        <w:rPr>
          <w:rFonts w:ascii="Times New Roman" w:hAnsi="Times New Roman" w:eastAsia="Times New Roman"/>
          <w:b/>
          <w:i w:val="0"/>
          <w:sz w:val="26"/>
        </w:rPr>
        <w:t>таймер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«15 с без відповіді». Спрацьовує та, що настане першою.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4. </w:t>
      </w:r>
      <w:r>
        <w:rPr>
          <w:rFonts w:ascii="Times New Roman" w:hAnsi="Times New Roman" w:eastAsia="Times New Roman"/>
          <w:b/>
          <w:i w:val="0"/>
          <w:sz w:val="26"/>
        </w:rPr>
        <w:t>Підтвердження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→ сервісне «Зафіксувати призначення цілі» → завершення «Ціль призначено».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5. </w:t>
      </w:r>
      <w:r>
        <w:rPr>
          <w:rFonts w:ascii="Times New Roman" w:hAnsi="Times New Roman" w:eastAsia="Times New Roman"/>
          <w:b/>
          <w:i w:val="0"/>
          <w:sz w:val="26"/>
        </w:rPr>
        <w:t>Тайм-аут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→ доріжка оперативного чергового «Обрати резервний розрахунок» → повернення до передачі завдання.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Підводні камені та типові питання викладача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тут шлюз, керований подіями, а не виключний?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Виключний шлюз вибирає гілку за даними в момент проходження. Тут даних ще немає — процес чекає зовнішньої події. Вибір робить та подія, яка сталася першою, — це саме шлюз, керований подіями.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Що станеться при втраті зв’язку з розрахунком?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Підтвердження не прийде, через 15 с спрацює таймер, і черговий обере резервний розрахунок. Тобто втрата зв’язку обробляється моделлю явно.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резервний розрахунок обирає черговий, а не офіцер бойового управління?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Це ескалація: якщо штатне призначення не вдалося, рішення піднімається на рівень відповідального за зміну, як і в заході 2.2.2 дерева цілей «контроль підтвердження з ескалацією».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4. Що відповісти, якщо придереться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Звідки 15 с — те саме обмеження стоїть у дереві цілей (2.2.2) і в UOW «Оцінити бойове завдання» IDEF3.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Якщо спитають, де зроблено схему: модель збережена у стандартному форматі BPMN 2.0 XML (lab2/diagrams/*.bpmn, з координатами DI) і візуалізована bpmn-js (bpmn.io); файл draw.io побудовано з того самого .bpmn штатними BPMN-фігурами draw.io. Файл .bpmn відкривається в Camunda Modeler — можу показати.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