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Пул P3 «Виконання місії перехоплення» (частина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2.0, паралельний шлюз (розгалуження і синхронізація)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lab2/drawio/05_Пул_P3_Виконання_місії_ч1.drawio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Прийняття завдання розрахунком і паралельна підготовка до пуску.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Пул P3 — робота розрахунку перехоплювачів. У першій частині розрахунок вирішує, чи прийняти завдання, і паралельно готує маршрут і техніку. Доріжки — командир, оператор і технік розрахунку.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Старт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повідомлення «Бойове завдання» з пулу P2.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Командир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«Оцінити можливість виконання» і шлюз «Приймається?».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«ні»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завершальна подія-повідомлення з відповіддю «Відмова» до P2.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«так»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проміжна подія надсилання повідомлення «Підтвердження прийняття» до P2 — саме його чекає шлюз, керований подіями, у P2.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Паралельний шлюз «+»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розгалуження: оператор «Підготувати маршрут і канал керування» і технік (ручне завдання) «Виконати передпольотний контроль» одночасно.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Другий паралельний шлюз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синхронізує: далі тільки після обох гілок; подія-посилання «Б» веде до частини 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другий паралельний шлюз? Не можна просто з’єднати дві стрілки в наступне завдання?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Без синхронізуючого шлюзу наступне завдання запустилося б двічі — по разу від кожної гілки. Паралельний шлюз на злитті чекає завершення всіх вхідних гілок.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передпольотний контроль — ручне завдання?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його фізично виконує технік без інформаційної системи — огляд, АКБ, кріплення. Ручне завдання в BPMN означає саме таку роботу.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Відмова — завершальна подія-повідомлення. Чому не завдання відправлення?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після відмови процес закінчується: результат процесу і є повідомлення. Завершальна подія-повідомлення поєднує обидва факти.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Те саме розгалуження J2/J3 є і в IDEF3 (ЛР3) — моделі узгоджені.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збережена у стандартному форматі BPMN 2.0 XML (lab2/diagrams/*.bpmn, з координатами DI) і візуалізована bpmn-js (bpmn.io); файл draw.io побудовано з того самого .bpmn штатними BPMN-фігурами draw.io. Файл .bpmn відкривається в Camunda Modeler — можу показати.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