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2 · Моделювання бізнес-процесів у нотації BPMN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Пул P5 «Забезпечення готовності ресурсів»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BPMN 2.0, розгорнутий пул з двома виключними шлюзами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lab2/drawio/08_Пул_P5_Готовність_ресурсів.drawio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8 з 8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Післяпольотний контроль, ремонт, облік запасів і заявки на поповнення — замикає цикл ресурсів.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Пул P5 відновлює ресурси після місії: перевірка техніки, облік запасів і, за потреби, заявка постачальнику. Доріжки — командир розрахунку, технік служби і логіст.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Старт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повідомлення «Дані про витрату» від P3.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Командир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«Доповісти про витрату і стан техніки».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Технік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ручне «Провести післяпольотний контроль», шлюз «Є несправності?»: «так» → «Відремонтувати або списати техніку».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Логіст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сервісне «Оновити облік запасів і готовності» (система), шлюз «Запас нижче норми?».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«так»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→ завдання відправлення «Сформувати заявку на поповнення» → повідомлення постачальнику → «Заявку надіслано»; </w:t>
      </w:r>
      <w:r>
        <w:rPr>
          <w:rFonts w:ascii="Times New Roman" w:hAnsi="Times New Roman" w:eastAsia="Times New Roman"/>
          <w:b/>
          <w:i w:val="0"/>
          <w:sz w:val="26"/>
        </w:rPr>
        <w:t>«ні»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→ «Готовність підтверджено».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Де зворотний зв’язок з призначенням цілей?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На карті взаємодії: з P5 до P2 іде «Готовність розрахунків». Оновлений облік — джерело цих даних.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облік запасів у доріжці логіста, якщо він сервісний?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відповідальність за запаси — у служби логістики, а система лише виконує облік.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Шлюз «Є несправності?» — що, якщо несправностей немає?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Потік «ні» йде одразу до оновлення обліку; на діаграмі обидві гілки зливаються перед сервісним завданням.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Норма запасу — «не менше ніж на дві ночі» з цілі 3.3 дерева цілей.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збережена у стандартному форматі BPMN 2.0 XML (lab2/diagrams/*.bpmn, з координатами DI) і візуалізована bpmn-js (bpmn.io); файл draw.io побудовано з того самого .bpmn штатними BPMN-фігурами draw.io. Файл .bpmn відкривається в Camunda Modeler — можу показати.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