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Моделювання DFD і вартісний аналіз (ABC)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DFD A4 «Оцінити результат і звітувати»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DFD (Data Flow Diagram), нотація Гейна — Сарсона у стилі AllFusion Process Modeler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lab4/drawio/01_DFD_А4.drawio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Деталізує функцію A4 з погляду даних: які дані потрібні для оцінки результату, де вони зберігаються і кому передаються.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Роботу A4 з діаграми А0 я декомпонував у нотації DFD, бо тут важливо не хто і в якому порядку, а як дані перетворюються і де зберігаються. За лекцією 5 DFD показує, як кожен процес перетворює вхідні дані у вихідні, і виявляє відношення між процесами.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Граничні стрілки IDEF0 тут замінено зовнішніми сутностями, а між процесами з’явились сховища — це майбутні таблиці бази даних платформи.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Зовнішня сутність «Розрахунок перехоплювачів»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(прямокутник з тінню) передає «Доповідь, відео і телеметрія» в процес A41.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A41 «Зібрати докази перехоплення»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(прямокутник із заокругленими кутами і номером) додатково читає «Дані треку цілі» зі сховища </w:t>
      </w:r>
      <w:r>
        <w:rPr>
          <w:rFonts w:ascii="Times New Roman" w:hAnsi="Times New Roman" w:eastAsia="Times New Roman"/>
          <w:b/>
          <w:i w:val="0"/>
          <w:sz w:val="26"/>
        </w:rPr>
        <w:t>D1 «Сховище треків»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 видає «Пакет доказів».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A42 «Оцінити результат перехоплення»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записує «Оцінка результату» в </w:t>
      </w:r>
      <w:r>
        <w:rPr>
          <w:rFonts w:ascii="Times New Roman" w:hAnsi="Times New Roman" w:eastAsia="Times New Roman"/>
          <w:b/>
          <w:i w:val="0"/>
          <w:sz w:val="26"/>
        </w:rPr>
        <w:t>D2 «Архів місій»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. Друга стрілка — «Інформація про списаний перехоплювач» — йде до межі з позначкою </w:t>
      </w:r>
      <w:r>
        <w:rPr>
          <w:rFonts w:ascii="Times New Roman" w:hAnsi="Times New Roman" w:eastAsia="Times New Roman"/>
          <w:b/>
          <w:i w:val="0"/>
          <w:sz w:val="26"/>
        </w:rPr>
        <w:t>A5</w:t>
      </w:r>
      <w:r>
        <w:rPr>
          <w:rFonts w:ascii="Times New Roman" w:hAnsi="Times New Roman" w:eastAsia="Times New Roman"/>
          <w:b w:val="0"/>
          <w:i w:val="0"/>
          <w:sz w:val="26"/>
        </w:rPr>
        <w:t>: це міжсторінкове посилання на діаграму DFD A5.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A43 «Сформувати і надіслати звіти»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читає «Дані місії» з D2, оновлює «Статус треку» в D1, обмінюється «Звіт / підтвердження» з </w:t>
      </w:r>
      <w:r>
        <w:rPr>
          <w:rFonts w:ascii="Times New Roman" w:hAnsi="Times New Roman" w:eastAsia="Times New Roman"/>
          <w:b/>
          <w:i w:val="0"/>
          <w:sz w:val="26"/>
        </w:rPr>
        <w:t>вищим командним пунктом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(двонапрямлений потік) і надсилає «Координати падіння» </w:t>
      </w:r>
      <w:r>
        <w:rPr>
          <w:rFonts w:ascii="Times New Roman" w:hAnsi="Times New Roman" w:eastAsia="Times New Roman"/>
          <w:b/>
          <w:i w:val="0"/>
          <w:sz w:val="26"/>
        </w:rPr>
        <w:t>ДСНС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Сховища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відкриті прямокутники з номером D1/D2 ліворуч.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Три процеси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у межах рекомендації лекції 3–6(7) процесів на діаграмі.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DFD відрізняється від IDEF0, якщо блоки схожі?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 IDEF0 стрілки мають тип — вхід, управління, вихід, механізм — і бік блоку має значення. У DFD усі стрілки — потоки даних, сторона входу не важлива, зате є сховища і зовнішні сутності.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«Звіт / підтвердження» двонапрямлений?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Звіт іде вищому КП, а у відповідь приходить підтвердження прийняття. Це один логічний обмін, тому одна двонапрямлена стрілка, а не дві зустрічні.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може потік іти напряму зі сховища в сховище або від сутності до сховища?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Ні: дані між сховищами і зовнішніми сутностями передаються тільки через процес. У мене всі потоки проходять через A41–A43 — це перевірено в Model Consistency Report.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за «A5» праворуч?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Міжсторінкове посилання (Off-Page Reference): дані виникають тут, а використовуються на діаграмі A5. Позначка — номер вузла, як задано у властивостях моделі.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Імена процесів — дієслова, потоків — іменники; абревіатур у назвах уникав, як рекомендує лекція 5.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Деталізацію завершено на цьому рівні: у кожного процесу 2–4 потоки і логіку можна описати короткою специфікацією — це критерій завершення DFD за лекцією.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описана як дані (lab4/model4.py, на основі моделі ЛР3) і відмальована в стилі AllFusion Process Modeler; файл draw.io згенерований з того самого рисунка, тож розташування і підписи збігаються. У draw.io можу пересунути процес — потоки приклеєні до блоків.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