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69" w:lineRule="auto"/>
      </w:pPr>
      <w:r>
        <w:rPr>
          <w:rFonts w:ascii="Times New Roman" w:hAnsi="Times New Roman" w:eastAsia="Times New Roman"/>
          <w:b w:val="0"/>
          <w:i/>
          <w:color w:val="595959"/>
          <w:sz w:val="21"/>
        </w:rPr>
        <w:t>СУФЛЕР ДО ЗАХИСТУ · ЛР 4 · Моделювання DFD і вартісний аналіз (ABC)</w:t>
      </w:r>
    </w:p>
    <w:p>
      <w:pPr>
        <w:spacing w:before="0" w:after="120" w:line="269" w:lineRule="auto"/>
      </w:pPr>
      <w:r>
        <w:rPr>
          <w:rFonts w:ascii="Times New Roman" w:hAnsi="Times New Roman" w:eastAsia="Times New Roman"/>
          <w:b/>
          <w:i w:val="0"/>
          <w:sz w:val="34"/>
        </w:rPr>
        <w:t>Діаграма А0 з відображенням вартості робіт (ABC Data)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Дисципліна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Проєктування інформаційних систем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Нотація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IDEF0 + функціонально-вартісний аналіз ABC (Activity Based Costing)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Файл draw.io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lab4/drawio/03_А0_ABC.drawio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Порядок показу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3 з 3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Роль у системі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Та сама А0, але в кожному блоці показано вартість роботи — результат вартісного аналізу.</w:t>
            </w:r>
          </w:p>
        </w:tc>
      </w:tr>
    </w:tbl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1. З чого почати відповідь</w:t>
      </w:r>
    </w:p>
    <w:p>
      <w:pPr>
        <w:spacing w:before="0" w:after="80" w:line="269" w:lineRule="auto"/>
        <w:ind w:left="227"/>
      </w:pPr>
      <w:r>
        <w:rPr>
          <w:rFonts w:ascii="Times New Roman" w:hAnsi="Times New Roman" w:eastAsia="Times New Roman"/>
          <w:b w:val="0"/>
          <w:i w:val="0"/>
          <w:sz w:val="27"/>
        </w:rPr>
        <w:t>Це діаграма А0 з ЛР3, на якій увімкнено опцію ABC Data: у лівому нижньому куті кожного блоку — вартість роботи, розрахована за центрами витрат.</w:t>
      </w:r>
    </w:p>
    <w:p>
      <w:pPr>
        <w:spacing w:before="0" w:after="80" w:line="269" w:lineRule="auto"/>
        <w:ind w:left="227"/>
      </w:pPr>
      <w:r>
        <w:rPr>
          <w:rFonts w:ascii="Times New Roman" w:hAnsi="Times New Roman" w:eastAsia="Times New Roman"/>
          <w:b w:val="0"/>
          <w:i w:val="0"/>
          <w:sz w:val="27"/>
        </w:rPr>
        <w:t>Розрахунковий період — одна доба бойового чергування: 40 виявлених цілей, 25 призначень, 22 місії.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2. Покрокова екскурсія по схемі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1. </w:t>
      </w:r>
      <w:r>
        <w:rPr>
          <w:rFonts w:ascii="Times New Roman" w:hAnsi="Times New Roman" w:eastAsia="Times New Roman"/>
          <w:b/>
          <w:i w:val="0"/>
          <w:sz w:val="26"/>
        </w:rPr>
        <w:t>Одиниці виміру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в ABC Units: грн і години.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2. </w:t>
      </w:r>
      <w:r>
        <w:rPr>
          <w:rFonts w:ascii="Times New Roman" w:hAnsi="Times New Roman" w:eastAsia="Times New Roman"/>
          <w:b/>
          <w:i w:val="0"/>
          <w:sz w:val="26"/>
        </w:rPr>
        <w:t>Чотири центри витрат</w:t>
      </w:r>
      <w:r>
        <w:rPr>
          <w:rFonts w:ascii="Times New Roman" w:hAnsi="Times New Roman" w:eastAsia="Times New Roman"/>
          <w:b w:val="0"/>
          <w:i w:val="0"/>
          <w:sz w:val="26"/>
        </w:rPr>
        <w:t>: «Оплата праці», «Експлуатація ІС та обладнання», «Перехоплювачі та АКБ», «Управління».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3. </w:t>
      </w:r>
      <w:r>
        <w:rPr>
          <w:rFonts w:ascii="Times New Roman" w:hAnsi="Times New Roman" w:eastAsia="Times New Roman"/>
          <w:b/>
          <w:i w:val="0"/>
          <w:sz w:val="26"/>
        </w:rPr>
        <w:t>Вартість задано для робіт нижнього рівня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— на одне виконання, з тривалістю і частотою. Наприклад, A11 виконується 6 разів на ціль — в середньому шість виявлень від різних сенсорів.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4. </w:t>
      </w:r>
      <w:r>
        <w:rPr>
          <w:rFonts w:ascii="Times New Roman" w:hAnsi="Times New Roman" w:eastAsia="Times New Roman"/>
          <w:b/>
          <w:i w:val="0"/>
          <w:sz w:val="26"/>
        </w:rPr>
        <w:t>Вартість декомпонованих робіт рахується автоматично</w:t>
      </w:r>
      <w:r>
        <w:rPr>
          <w:rFonts w:ascii="Times New Roman" w:hAnsi="Times New Roman" w:eastAsia="Times New Roman"/>
          <w:b w:val="0"/>
          <w:i w:val="0"/>
          <w:sz w:val="26"/>
        </w:rPr>
        <w:t>: A1 = 6 × 2 + 3 + 20 + 10 = 45,00 грн на ціль; A2 = 2 + 1,2 × 23 + 25 + 1,1 × 2 = 56,80 грн на призначення.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5. </w:t>
      </w:r>
      <w:r>
        <w:rPr>
          <w:rFonts w:ascii="Times New Roman" w:hAnsi="Times New Roman" w:eastAsia="Times New Roman"/>
          <w:b/>
          <w:i w:val="0"/>
          <w:sz w:val="26"/>
        </w:rPr>
        <w:t>A0 за добу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= 40 × 45 + 25 × 56,80 + 22 × 70 750 + 22 × 220 + 9 300 = </w:t>
      </w:r>
      <w:r>
        <w:rPr>
          <w:rFonts w:ascii="Times New Roman" w:hAnsi="Times New Roman" w:eastAsia="Times New Roman"/>
          <w:b/>
          <w:i w:val="0"/>
          <w:sz w:val="26"/>
        </w:rPr>
        <w:t>1 573 860 грн</w:t>
      </w:r>
      <w:r>
        <w:rPr>
          <w:rFonts w:ascii="Times New Roman" w:hAnsi="Times New Roman" w:eastAsia="Times New Roman"/>
          <w:b w:val="0"/>
          <w:i w:val="0"/>
          <w:sz w:val="26"/>
        </w:rPr>
        <w:t>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6. </w:t>
      </w:r>
      <w:r>
        <w:rPr>
          <w:rFonts w:ascii="Times New Roman" w:hAnsi="Times New Roman" w:eastAsia="Times New Roman"/>
          <w:b/>
          <w:i w:val="0"/>
          <w:sz w:val="26"/>
        </w:rPr>
        <w:t>Висновок з Activity Cost Report</w:t>
      </w:r>
      <w:r>
        <w:rPr>
          <w:rFonts w:ascii="Times New Roman" w:hAnsi="Times New Roman" w:eastAsia="Times New Roman"/>
          <w:b w:val="0"/>
          <w:i w:val="0"/>
          <w:sz w:val="26"/>
        </w:rPr>
        <w:t>: 98 % вартості — центр «Перехоплювачі та АКБ», робота A3 дає 98,9 %, а інформаційні функції A1–A2 — менше 0,2 %.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3. Підводні камені та типові питання викладача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Як рахується вартість батьківської роботи?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Як сума вартостей дочірніх робіт, помножених на їхні частоти: C = Σ Cᵢ · Fᵢ. Тому для A1 і A2 я задав лише частоту на А0, а вартість зібралась з A11–A14 і A21–A24.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Чому частота A22 — 1,2, а не ціле число?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Частота в ABC — середня кількість виконань на одне виконання батьківської роботи. 1,2 означає, що в частині випадків черговий відмовляє в санкціонуванні і розрахунок обирають повторно (зворотний зв’язок A23 → A22). Так само 1,1 у A24 — повторна передача завдання резервному розрахунку.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Який практичний висновок з аналізу?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Економічний ефект дає не здешевлення обробки даних, а точніше призначення: кожен зайвий пуск коштує ≈ 70 тис. грн, а вся інформаційна частина — менше 0,2 % витрат.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Звідки ціни?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Це умовні навчальні оцінки, порядок величин узгоджений: перехоплювач — десятки тисяч гривень, операція обробки даних — гривні.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4. Що відповісти, якщо придереться</w:t>
      </w:r>
    </w:p>
    <w:p>
      <w:pPr>
        <w:spacing w:before="0" w:after="60" w:line="269" w:lineRule="auto"/>
        <w:ind w:left="340" w:hanging="283"/>
      </w:pPr>
      <w:r>
        <w:rPr>
          <w:rFonts w:ascii="Times New Roman" w:hAnsi="Times New Roman" w:eastAsia="Times New Roman"/>
          <w:b w:val="0"/>
          <w:i w:val="0"/>
          <w:color w:val="1F3864"/>
          <w:sz w:val="26"/>
        </w:rPr>
        <w:t xml:space="preserve">▸ </w:t>
      </w:r>
      <w:r>
        <w:rPr>
          <w:rFonts w:ascii="Times New Roman" w:hAnsi="Times New Roman" w:eastAsia="Times New Roman"/>
          <w:b w:val="0"/>
          <w:i w:val="0"/>
          <w:sz w:val="26"/>
        </w:rPr>
        <w:t>Вартість у блоках округлено до копійок, як показує AllFusion; повні цифри — у таблиці Activity Cost Report.</w:t>
      </w:r>
    </w:p>
    <w:p>
      <w:pPr>
        <w:spacing w:before="0" w:after="60" w:line="269" w:lineRule="auto"/>
        <w:ind w:left="340" w:hanging="283"/>
      </w:pPr>
      <w:r>
        <w:rPr>
          <w:rFonts w:ascii="Times New Roman" w:hAnsi="Times New Roman" w:eastAsia="Times New Roman"/>
          <w:b w:val="0"/>
          <w:i w:val="0"/>
          <w:color w:val="1F3864"/>
          <w:sz w:val="26"/>
        </w:rPr>
        <w:t xml:space="preserve">▸ </w:t>
      </w:r>
      <w:r>
        <w:rPr>
          <w:rFonts w:ascii="Times New Roman" w:hAnsi="Times New Roman" w:eastAsia="Times New Roman"/>
          <w:b w:val="0"/>
          <w:i w:val="0"/>
          <w:sz w:val="26"/>
        </w:rPr>
        <w:t>UDP і Diagram Object Report зроблено для тих самих робіт А0 — значення властивостей у таблицях звіту.</w:t>
      </w:r>
    </w:p>
    <w:p>
      <w:pPr>
        <w:spacing w:before="0" w:after="60" w:line="269" w:lineRule="auto"/>
        <w:ind w:left="340" w:hanging="283"/>
      </w:pPr>
      <w:r>
        <w:rPr>
          <w:rFonts w:ascii="Times New Roman" w:hAnsi="Times New Roman" w:eastAsia="Times New Roman"/>
          <w:b w:val="0"/>
          <w:i w:val="0"/>
          <w:color w:val="1F3864"/>
          <w:sz w:val="26"/>
        </w:rPr>
        <w:t xml:space="preserve">▸ </w:t>
      </w:r>
      <w:r>
        <w:rPr>
          <w:rFonts w:ascii="Times New Roman" w:hAnsi="Times New Roman" w:eastAsia="Times New Roman"/>
          <w:b w:val="0"/>
          <w:i w:val="0"/>
          <w:sz w:val="26"/>
        </w:rPr>
        <w:t>Якщо спитають, де зроблено схему: модель описана як дані (lab4/model4.py, на основі моделі ЛР3) і відмальована в стилі AllFusion Process Modeler; файл draw.io згенерований з того самого рисунка, тож розташування і підписи збігаються. У draw.io можу пересунути процес — потоки приклеєні до блоків.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