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2 · Опис програмної реалізації системи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Мета продукту, вхідні та вихідні дані, системні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Опис програмної реалізації: мета, дані, вимоги до середовища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Розділи 2–4; табл. 2.1–2.3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tspp_work/lab2/ЛР2_Кравченко_ІР-31.docx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1 з 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Перші три пункти завдання.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Мета продукту — скоротити час від виявлення цілі до призначення розрахунку і підвищити частку успішних перехоплень: автоматично зводити виявлення в треки, впорядковувати чергу загроз, вести місію з правилом двох осіб і зберігати незмінний журнал рішень.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Що реалізовано.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Ядро системи: БД PostgreSQL із серверною логікою, веб-застосунок АРМ і REST API для шлюзів. Обладнання (MQTT, MAVLink) подано імітатором і тестовими даними.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Табл. 2.1 — вхідні дані.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Автоматично: виявлення від шлюзів (JSON через REST API), телеметрія; вручну: класифікація, пропозиція місії, санкція, прийняття й пуск, облік перехоплювачів.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Табл. 2.2 — вихідні дані.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Черга загроз, картки треку й місії, готовність ресурсів, показники ефективності, журнал аудиту, відповіді API 201/401/422.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Табл. 2.3 — системні вимоги.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Сервер: від 4 ядер, 8 ГБ, Linux, PostgreSQL ≥ 13, Python ≥ 3.11; АРМ — лише сучасний браузер; шлюз — Jetson Orin Nano Super з ПР3.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Перевірка на стенді.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Обробка одного виявлення через API — медіана близько 8 мс, тобто менше 1 % бюджету NFR-01 (2 с).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системні вимоги відрізняються від функціональних?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Функціональні — що система робить; системні (нефункціональні) — середовище, в якому вона працює злагоджено: обладнання, ОС, СКБД, мережа.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вимоги тут менші, ніж у SRS ПР1?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SRS описує цільову конфігурацію з двома ЦОД і шиною подій; тут — мінімум для реалізованого ядра одного центру.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Як ви виміряли 8 мс?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Скрипт run_demo надсилає 30 виявлень підряд і заміряє час від запиту до відповіді; медіана, 95-й процентиль і максимум — у тексті розділу 4.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Усі дані з табл. 2.1–2.2 прив’язані до конкретних таблиць і представлень БД з ЛР1.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