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Опис програмної реалізації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Реалізація та перевірка вимог ФВ-БД-01…13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Трасування вимог ЛР1 → реалізація → автоматична перевірка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8; табл. 2.6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tspp_work/lab2/ЛР2_Кравченко_ІР-31.docx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Замикає зв’язок ЛР1 → ЛР2: усе, що обіцяли, зроблено і перевірено.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У висновках ЛР1 було 13 функціональних вимог до реалізації БД. Табл. 2.6 показує для кожної засоби реалізації та результат автоматичної перевірки — усі 13 виконано.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01–02.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Схема + серверна логіка створюються без помилок; тестові дані — за 30 діб: сотні виявлень, понад 30 місій, сотні записів аудиту.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03.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CRUD перехоплювача; видалення використаного — відмова (FOREIGN KEY).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04–05.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API: 201 з номером треку, 422 для сенсора поза мережею, 401 для невірного ключа; черга загроз упорядкована.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06–08.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Повний цикл місії через інтерфейс; санкція автором відхиляється (CHECK); недопустимий перехід відхиляється тригером; другий звіт — UNIQUE.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09–10.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Готовність за позиціями; статистика: частка влучань, середній час «пропозиція — санкція» і «санкція — пуск».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11.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Ланцюжок аудиту цілий; UPDATE і DELETE журналу заборонені; штучну підробку запису № 40 виявлено.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12–13.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Ролі СКБД: аналітику відмовлено створювати місії; резервна копія відновлена, кількість записів збігається.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відтворити перевірку?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Одна команда: «.venv/bin/python tspp_work/lab2/run_demo.py» — піднімає БД, наповнює, запускає застосунок, робить знімки і друкує ФВ-БД-01…13: OK.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Хіба суперкористувач не може просто вимкнути тригер і змінити журнал?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Може змінити — але не непомітно: перевірка ланцюжка хешів покаже порушення саме в зміненому записі.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ролі СКБД відрізняються від ролей у застосунку?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Ролі в застосунку (R-01…R-13) керують інтерфейсом; ролі СКБД (shch_…) обмежують доступ до таблиць навіть при прямому підключенні до БД — другий рубіж захисту.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Результати в табл. 2.6 взято з автоматичного прогону, а не вписано вручну.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