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1 · Збір та документування вимог для програмного продукту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Специфікація системних вимог (SRS)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SRS за структурою завдання: 10 розділів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5; табл. 1.14–1.25; рис. 1.7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tspp_work/pract1/ПР1_Кравченко_ІР-31.docx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Підсумковий документ вимог, з яким далі працюють архітектор, розробники й тестувальники.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Розділ 5 — повна специфікація системних вимог за структурою з теоретичної частини завдання: 10 розділів від вступу до додатків. Підрозділи 5.1–5.10 звіту відповідають розділам 1–10 цієї структури.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5.1 Вступ.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Мета документа, сфера застосування (що система охоплює і що ні — автопілоти й наведення не охоплює), визначення (табл. 1.14).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5.2 Драйвери бізнесу (табл. 1.15).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Проблеми ручної роботи: голосове цілевказання 30–90 с, дублі треків, немає картини готовності — і можливості системи.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5.3 Бізнес-модель.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Процеси BP-01…BP-12 і FR, що їх підтримують (табл. 1.16); контекстна схема (рис. 1.7) — входи, виходи, зовнішні системи.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5.4 Системні вимоги (табл. 1.17–1.20).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22 FR деталізовано до 30 системних вимог SR-x.y за чотирма підсистемами, кожна з посиланням на FR.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5.6 Технічні вимоги.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Обладнання, ПЗ, мережа й протоколи (MQTT 5, ASTERIX, MAVLink 2, gRPC, WebSocket) — табл. 1.21–1.23.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5.7–5.9.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Системні якості (табл. 1.24), обмеження й припущення, критерії прийняття (табл. 1.25).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системна вимога відрізняється від функціональної?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Функціональна — «що» на верхньому рівні; системна деталізує її до конкретної реакції або даних, наприклад SR-1.4: вузол, що пропустив 3 контрольні сигнали, стає «деградованим».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критерії прийняття?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умови, за яких замовник приймає систему; вони перевіряються приймальним тестуванням (верхній рівень V-моделі).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технічні вимоги в ЛР2 менші, ніж у SRS?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SRS описує цільову промислову конфігурацію з резервуванням у двох ЦОД; у ЛР2 — мінімальні вимоги до реалізованого ядра для одного центру.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Структура SRS — точно та, що в теоретичній частині завдання, тому нічого не пропущено.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Наскрізне трасування: драйвер бізнесу → FR → SR → прецедент → критерій прийняття.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