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2 · Архітектура IoT екосистеми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Вибір архітектурного стилю: EDA + мікросервіси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Архітектурні стилі (лекція 5): монолітна, мікросервісна, SOA, подієво-орієнтована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2.2, 3.3; табл. 2.4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tspp_work/pract2/ПР2_Кравченко_ІР-31.docx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Обґрунтовує, як влаштоване IoT-ядро.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Чотири стилі з лекції порівняно за вимогами табл. 2.2 (табл. 2.4). Обрано гібридний стиль: подієво-орієнтована архітектура як основа взаємодії і мікросервіси як спосіб побудови ядра.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Монолітна — відхилено.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Простота є, але не можна масштабувати лише сервіси реального часу, а збій одного модуля зупиняє все.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SOA — ідеї для інтеграції.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Стандартні інтерфейси з зовнішніми системами корисні, але централізована шина ESB стала б вузьким місцем на 20 000 повідомлень/с.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EDA — основа взаємодії.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Пристрої за природою генерують потоки подій: виявлення, оновлення треку, зміна стану місії, телеметрія.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Мікросервіси — дев’ять сервісів ядра.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Кожен — видавець і/або підписник подій; злиття треків і телеметрію можна масштабувати незалежно.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Шина подій зберігає журнал.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Новий сервіс під’єднується без змін у видавцях, а після збою продовжує обробку з місця зупинки.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Але в ЛР2 ви реалізували один Flask-застосунок. Хіба це не моноліт?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Так, і це свідомо: ЛР2 — перший інкремент за моделлю ЖЦ з ПР1, ядро даних і АРМ. Межі майбутніх сервісів уже видно: fn_ingest_detection — це сервіс злиття треків, тригери місії — сервіс призначення. У наступних інкрементах їх винесемо в окремі сервіси на шині подій.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Які недоліки EDA?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Складніше відлагодження і контроль порядку подій; тому стан місії має одне головне джерело — сервіс призначення, а події несуть часові мітки.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мікросервіси відрізняються від SOA?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SOA сервіси взаємодіють через централізовану шину (ESB) з логікою маршрутизації; мікросервіси — дрібніші, незалежно розгортаються і спілкуються через легкі протоколи або брокер подій без логіки.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Рішення в табл. 2.4 прийнято за вимогами, а не за модою: моноліт відхилено через масштабування і відмовостійкість.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